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ARCH-004: Enterprise Solution Architecture</w:t>
      </w:r>
    </w:p>
    <w:p>
      <w:r>
        <w:t>Document ID: ARCH-004</w:t>
        <w:br/>
        <w:t>Version: 1.0</w:t>
        <w:br/>
        <w:t>Status: Approved</w:t>
        <w:br/>
        <w:t>Architecture Style: Modular Monolith (Designed for Future Service Extraction)</w:t>
        <w:br/>
        <w:t>Project: SupplyMind Enterprise AI</w:t>
      </w:r>
    </w:p>
    <w:p>
      <w:pPr>
        <w:pStyle w:val="Heading2"/>
      </w:pPr>
      <w:r>
        <w:t>Architecture Objective</w:t>
      </w:r>
    </w:p>
    <w:p>
      <w:r>
        <w:t>Design a modular enterprise AI platform where data flows from multiple sources through Bronze, Silver, and Gold layers into reusable features, AI models, business services, APIs, dashboards, and an AI Copilot.</w:t>
      </w:r>
    </w:p>
    <w:p>
      <w:pPr>
        <w:pStyle w:val="Heading2"/>
      </w:pPr>
      <w:r>
        <w:t>Enterprise Architecture Layers</w:t>
      </w:r>
    </w:p>
    <w:p>
      <w:r>
        <w:t>External Data Sources</w:t>
        <w:br/>
        <w:t>↓</w:t>
        <w:br/>
        <w:t>Connector Layer</w:t>
        <w:br/>
        <w:t>↓</w:t>
        <w:br/>
        <w:t>Bronze Data</w:t>
        <w:br/>
        <w:t>↓</w:t>
        <w:br/>
        <w:t>Silver Data</w:t>
        <w:br/>
        <w:t>↓</w:t>
        <w:br/>
        <w:t>Gold Business Data</w:t>
        <w:br/>
        <w:t>↓</w:t>
        <w:br/>
        <w:t>Feature Store</w:t>
        <w:br/>
        <w:t>↓</w:t>
        <w:br/>
        <w:t>AI Models</w:t>
        <w:br/>
        <w:t>↓</w:t>
        <w:br/>
        <w:t>Business Services</w:t>
        <w:br/>
        <w:t>↓</w:t>
        <w:br/>
        <w:t>APIs</w:t>
        <w:br/>
        <w:t>↓</w:t>
        <w:br/>
        <w:t>Dashboard &amp; AI Copilot</w:t>
      </w:r>
    </w:p>
    <w:p>
      <w:pPr>
        <w:pStyle w:val="Heading2"/>
      </w:pPr>
      <w:r>
        <w:t>Connector Layer</w:t>
      </w:r>
    </w:p>
    <w:p>
      <w:r>
        <w:t>Responsible for connecting to APIs, Kaggle, GitHub, files, databases, cloud storage, and future enterprise systems such as SAP, IDS, Manhattan, and SharePoint. Connectors return standardized data and isolate source-specific logic.</w:t>
      </w:r>
    </w:p>
    <w:p>
      <w:pPr>
        <w:pStyle w:val="Heading2"/>
      </w:pPr>
      <w:r>
        <w:t>Bronze / Silver / Gold</w:t>
      </w:r>
    </w:p>
    <w:p>
      <w:r>
        <w:t>Bronze preserves raw data with ingestion metadata. Silver standardizes and validates enterprise data. Gold produces business-ready datasets, KPIs, and forecasting tables.</w:t>
      </w:r>
    </w:p>
    <w:p>
      <w:pPr>
        <w:pStyle w:val="Heading2"/>
      </w:pPr>
      <w:r>
        <w:t>Feature Store</w:t>
      </w:r>
    </w:p>
    <w:p>
      <w:r>
        <w:t>Provides reusable engineered features shared by all forecasting models to eliminate duplicated feature engineering.</w:t>
      </w:r>
    </w:p>
    <w:p>
      <w:pPr>
        <w:pStyle w:val="Heading2"/>
      </w:pPr>
      <w:r>
        <w:t>AI Architecture</w:t>
      </w:r>
    </w:p>
    <w:p>
      <w:r>
        <w:t>Supports Machine Learning, Deep Learning, LLMs, Agents, Prompt Management, and Evaluation. Models are replaceable and evaluated using common metrics.</w:t>
      </w:r>
    </w:p>
    <w:p>
      <w:pPr>
        <w:pStyle w:val="Heading2"/>
      </w:pPr>
      <w:r>
        <w:t>Decision Intelligence</w:t>
      </w:r>
    </w:p>
    <w:p>
      <w:r>
        <w:t>Forecasts are transformed into workload estimates, labor planning, operational risk assessments, and business recommendations through the Services module.</w:t>
      </w:r>
    </w:p>
    <w:p>
      <w:pPr>
        <w:pStyle w:val="Heading2"/>
      </w:pPr>
      <w:r>
        <w:t>API Layer</w:t>
      </w:r>
    </w:p>
    <w:p>
      <w:r>
        <w:t>REST APIs expose forecasting, planning, Copilot, health, and data services. APIs remain thin and delegate business logic to services.</w:t>
      </w:r>
    </w:p>
    <w:p>
      <w:pPr>
        <w:pStyle w:val="Heading2"/>
      </w:pPr>
      <w:r>
        <w:t>AI Copilot</w:t>
      </w:r>
    </w:p>
    <w:p>
      <w:r>
        <w:t>Uses tools to retrieve trusted data and predictions before generating explanations. LLMs explain results rather than invent business facts.</w:t>
      </w:r>
    </w:p>
    <w:p>
      <w:pPr>
        <w:pStyle w:val="Heading2"/>
      </w:pPr>
      <w:r>
        <w:t>Monitoring</w:t>
      </w:r>
    </w:p>
    <w:p>
      <w:r>
        <w:t>Monitors data quality, pipeline execution, model performance, API health, and platform reliability.</w:t>
      </w:r>
    </w:p>
    <w:p>
      <w:pPr>
        <w:pStyle w:val="Heading2"/>
      </w:pPr>
      <w:r>
        <w:t>Deployment Strategy</w:t>
      </w:r>
    </w:p>
    <w:p>
      <w:r>
        <w:t>Local-first implementation with a modular architecture that can later evolve to cloud deployment and service extraction.</w:t>
      </w:r>
    </w:p>
    <w:p>
      <w:pPr>
        <w:pStyle w:val="Heading2"/>
      </w:pPr>
      <w:r>
        <w:t>Approved Architecture Decision</w:t>
      </w:r>
    </w:p>
    <w:p>
      <w:r>
        <w:t>SupplyMind Enterprise AI will use a Modular Monolith architecture with strict internal module boundaries. Microservices will only be introduced when justified by scaling, ownership, or operational requirements.</w:t>
      </w:r>
    </w:p>
    <w:p>
      <w:pPr>
        <w:pStyle w:val="Heading2"/>
      </w:pPr>
      <w:r>
        <w:t>Repository Module Responsibilities</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Responsibility</w:t>
            </w:r>
          </w:p>
        </w:tc>
      </w:tr>
      <w:tr>
        <w:tc>
          <w:tcPr>
            <w:tcW w:type="dxa" w:w="4320"/>
          </w:tcPr>
          <w:p>
            <w:r>
              <w:t>src/connectors</w:t>
            </w:r>
          </w:p>
        </w:tc>
        <w:tc>
          <w:tcPr>
            <w:tcW w:type="dxa" w:w="4320"/>
          </w:tcPr>
          <w:p>
            <w:r>
              <w:t>Acquire data from external systems</w:t>
            </w:r>
          </w:p>
        </w:tc>
      </w:tr>
      <w:tr>
        <w:tc>
          <w:tcPr>
            <w:tcW w:type="dxa" w:w="4320"/>
          </w:tcPr>
          <w:p>
            <w:r>
              <w:t>src/bronze</w:t>
            </w:r>
          </w:p>
        </w:tc>
        <w:tc>
          <w:tcPr>
            <w:tcW w:type="dxa" w:w="4320"/>
          </w:tcPr>
          <w:p>
            <w:r>
              <w:t>Raw data ingestion</w:t>
            </w:r>
          </w:p>
        </w:tc>
      </w:tr>
      <w:tr>
        <w:tc>
          <w:tcPr>
            <w:tcW w:type="dxa" w:w="4320"/>
          </w:tcPr>
          <w:p>
            <w:r>
              <w:t>src/silver</w:t>
            </w:r>
          </w:p>
        </w:tc>
        <w:tc>
          <w:tcPr>
            <w:tcW w:type="dxa" w:w="4320"/>
          </w:tcPr>
          <w:p>
            <w:r>
              <w:t>Cleaning and standardization</w:t>
            </w:r>
          </w:p>
        </w:tc>
      </w:tr>
      <w:tr>
        <w:tc>
          <w:tcPr>
            <w:tcW w:type="dxa" w:w="4320"/>
          </w:tcPr>
          <w:p>
            <w:r>
              <w:t>src/gold</w:t>
            </w:r>
          </w:p>
        </w:tc>
        <w:tc>
          <w:tcPr>
            <w:tcW w:type="dxa" w:w="4320"/>
          </w:tcPr>
          <w:p>
            <w:r>
              <w:t>Business-ready datasets</w:t>
            </w:r>
          </w:p>
        </w:tc>
      </w:tr>
      <w:tr>
        <w:tc>
          <w:tcPr>
            <w:tcW w:type="dxa" w:w="4320"/>
          </w:tcPr>
          <w:p>
            <w:r>
              <w:t>src/feature_store</w:t>
            </w:r>
          </w:p>
        </w:tc>
        <w:tc>
          <w:tcPr>
            <w:tcW w:type="dxa" w:w="4320"/>
          </w:tcPr>
          <w:p>
            <w:r>
              <w:t>Reusable ML features</w:t>
            </w:r>
          </w:p>
        </w:tc>
      </w:tr>
      <w:tr>
        <w:tc>
          <w:tcPr>
            <w:tcW w:type="dxa" w:w="4320"/>
          </w:tcPr>
          <w:p>
            <w:r>
              <w:t>src/ai</w:t>
            </w:r>
          </w:p>
        </w:tc>
        <w:tc>
          <w:tcPr>
            <w:tcW w:type="dxa" w:w="4320"/>
          </w:tcPr>
          <w:p>
            <w:r>
              <w:t>Machine Learning, Deep Learning, LLMs, Agents</w:t>
            </w:r>
          </w:p>
        </w:tc>
      </w:tr>
      <w:tr>
        <w:tc>
          <w:tcPr>
            <w:tcW w:type="dxa" w:w="4320"/>
          </w:tcPr>
          <w:p>
            <w:r>
              <w:t>src/services</w:t>
            </w:r>
          </w:p>
        </w:tc>
        <w:tc>
          <w:tcPr>
            <w:tcW w:type="dxa" w:w="4320"/>
          </w:tcPr>
          <w:p>
            <w:r>
              <w:t>Business orchestration and decision logic</w:t>
            </w:r>
          </w:p>
        </w:tc>
      </w:tr>
      <w:tr>
        <w:tc>
          <w:tcPr>
            <w:tcW w:type="dxa" w:w="4320"/>
          </w:tcPr>
          <w:p>
            <w:r>
              <w:t>src/api</w:t>
            </w:r>
          </w:p>
        </w:tc>
        <w:tc>
          <w:tcPr>
            <w:tcW w:type="dxa" w:w="4320"/>
          </w:tcPr>
          <w:p>
            <w:r>
              <w:t>Expose platform capabilities</w:t>
            </w:r>
          </w:p>
        </w:tc>
      </w:tr>
      <w:tr>
        <w:tc>
          <w:tcPr>
            <w:tcW w:type="dxa" w:w="4320"/>
          </w:tcPr>
          <w:p>
            <w:r>
              <w:t>src/copilot</w:t>
            </w:r>
          </w:p>
        </w:tc>
        <w:tc>
          <w:tcPr>
            <w:tcW w:type="dxa" w:w="4320"/>
          </w:tcPr>
          <w:p>
            <w:r>
              <w:t>Conversational AI</w:t>
            </w:r>
          </w:p>
        </w:tc>
      </w:tr>
      <w:tr>
        <w:tc>
          <w:tcPr>
            <w:tcW w:type="dxa" w:w="4320"/>
          </w:tcPr>
          <w:p>
            <w:r>
              <w:t>src/ui</w:t>
            </w:r>
          </w:p>
        </w:tc>
        <w:tc>
          <w:tcPr>
            <w:tcW w:type="dxa" w:w="4320"/>
          </w:tcPr>
          <w:p>
            <w:r>
              <w:t>Enterprise dashboards</w:t>
            </w:r>
          </w:p>
        </w:tc>
      </w:tr>
      <w:tr>
        <w:tc>
          <w:tcPr>
            <w:tcW w:type="dxa" w:w="4320"/>
          </w:tcPr>
          <w:p>
            <w:r>
              <w:t>src/monitoring</w:t>
            </w:r>
          </w:p>
        </w:tc>
        <w:tc>
          <w:tcPr>
            <w:tcW w:type="dxa" w:w="4320"/>
          </w:tcPr>
          <w:p>
            <w:r>
              <w:t>Observability and health</w:t>
            </w:r>
          </w:p>
        </w:tc>
      </w:tr>
      <w:tr>
        <w:tc>
          <w:tcPr>
            <w:tcW w:type="dxa" w:w="4320"/>
          </w:tcPr>
          <w:p>
            <w:r>
              <w:t>src/core</w:t>
            </w:r>
          </w:p>
        </w:tc>
        <w:tc>
          <w:tcPr>
            <w:tcW w:type="dxa" w:w="4320"/>
          </w:tcPr>
          <w:p>
            <w:r>
              <w:t>Shared platform foundation</w:t>
            </w:r>
          </w:p>
        </w:tc>
      </w:tr>
    </w:tbl>
    <w:p>
      <w:pPr>
        <w:pStyle w:val="Heading2"/>
      </w:pPr>
      <w:r>
        <w:t>Architectural Principles</w:t>
      </w:r>
    </w:p>
    <w:p>
      <w:pPr>
        <w:pStyle w:val="ListBullet"/>
      </w:pPr>
      <w:r>
        <w:t>Business logic is independent of the UI.</w:t>
      </w:r>
    </w:p>
    <w:p>
      <w:pPr>
        <w:pStyle w:val="ListBullet"/>
      </w:pPr>
      <w:r>
        <w:t>Pipeline logic is independent of the data source.</w:t>
      </w:r>
    </w:p>
    <w:p>
      <w:pPr>
        <w:pStyle w:val="ListBullet"/>
      </w:pPr>
      <w:r>
        <w:t>Models are replaceable.</w:t>
      </w:r>
    </w:p>
    <w:p>
      <w:pPr>
        <w:pStyle w:val="ListBullet"/>
      </w:pPr>
      <w:r>
        <w:t>Services coordinate business capabilities.</w:t>
      </w:r>
    </w:p>
    <w:p>
      <w:pPr>
        <w:pStyle w:val="ListBullet"/>
      </w:pPr>
      <w:r>
        <w:t>APIs remain thin.</w:t>
      </w:r>
    </w:p>
    <w:p>
      <w:pPr>
        <w:pStyle w:val="ListBullet"/>
      </w:pPr>
      <w:r>
        <w:t>AI responses are grounded in trusted data.</w:t>
      </w:r>
    </w:p>
    <w:p>
      <w:pPr>
        <w:pStyle w:val="ListBullet"/>
      </w:pPr>
      <w:r>
        <w:t>Every module has a single responsibility.</w:t>
      </w:r>
    </w:p>
    <w:p>
      <w:pPr>
        <w:pStyle w:val="ListBullet"/>
      </w:pPr>
      <w:r>
        <w:t>Monitoring is a first-class platform capability.</w:t>
      </w:r>
    </w:p>
    <w:p>
      <w:pPr>
        <w:pStyle w:val="Heading2"/>
      </w:pPr>
      <w:r>
        <w:t>Interview Talking Point</w:t>
      </w:r>
    </w:p>
    <w:p>
      <w:r>
        <w:t>SupplyMind Enterprise AI was intentionally designed as a layered, modular platform. Data acquisition, transformation, AI models, business services, APIs, and user interfaces are separated into independent modules. This enables future replacement of data sources, models, and user interfaces with minimal impact while keeping the first implementation simple through a modular monolith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