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ARCH-007: Enterprise Data Platform Architecture</w:t>
      </w:r>
    </w:p>
    <w:p>
      <w:r>
        <w:t>Document ID: ARCH-007</w:t>
        <w:br/>
        <w:t>Version: 1.0</w:t>
        <w:br/>
        <w:t>Status: Approved</w:t>
        <w:br/>
        <w:t>Project: SupplyMind Enterprise AI</w:t>
        <w:br/>
      </w:r>
    </w:p>
    <w:p>
      <w:pPr>
        <w:pStyle w:val="Heading2"/>
      </w:pPr>
      <w:r>
        <w:t>Purpose</w:t>
      </w:r>
    </w:p>
    <w:p>
      <w:r>
        <w:t>Define the enterprise data platform architecture supporting trusted, traceable, and reusable data from ingestion through AI-driven business decisions.</w:t>
      </w:r>
    </w:p>
    <w:p>
      <w:pPr>
        <w:pStyle w:val="Heading2"/>
      </w:pPr>
      <w:r>
        <w:t>Data Platform Flow</w:t>
      </w:r>
    </w:p>
    <w:p>
      <w:r>
        <w:t>External Sources → Connectors → Landing → Bronze → Data Quality → Silver → Business Transformations → Gold → Feature Store → AI Models → APIs &amp; Copilot → Users</w:t>
      </w:r>
    </w:p>
    <w:p>
      <w:pPr>
        <w:pStyle w:val="Heading2"/>
      </w:pPr>
      <w:r>
        <w:t>Data Zones</w:t>
      </w:r>
    </w:p>
    <w:p>
      <w:r>
        <w:t>Landing (temporary), Bronze (raw immutable), Silver (clean standardized), Gold (business-ready), Feature Store (reusable engineered features).</w:t>
      </w:r>
    </w:p>
    <w:p>
      <w:pPr>
        <w:pStyle w:val="Heading2"/>
      </w:pPr>
      <w:r>
        <w:t>Directory Structure</w:t>
      </w:r>
    </w:p>
    <w:p>
      <w:r>
        <w:t>data/landing, data/bronze, data/silver, data/gold, data/feature_store, data/monitoring, data/archive organized by business domain.</w:t>
      </w:r>
    </w:p>
    <w:p>
      <w:pPr>
        <w:pStyle w:val="Heading2"/>
      </w:pPr>
      <w:r>
        <w:t>Naming Standards</w:t>
      </w:r>
    </w:p>
    <w:p>
      <w:r>
        <w:t>Datasets follow layer_subject_granularity (e.g. gold_daily_demand). Files include dataset, date, version, and format.</w:t>
      </w:r>
    </w:p>
    <w:p>
      <w:pPr>
        <w:pStyle w:val="Heading2"/>
      </w:pPr>
      <w:r>
        <w:t>Metadata</w:t>
      </w:r>
    </w:p>
    <w:p>
      <w:r>
        <w:t>Every dataset includes owner, description, source, consumer, schema version, record count, timestamps, quality score, and retention policy.</w:t>
      </w:r>
    </w:p>
    <w:p>
      <w:pPr>
        <w:pStyle w:val="Heading2"/>
      </w:pPr>
      <w:r>
        <w:t>Data Quality</w:t>
      </w:r>
    </w:p>
    <w:p>
      <w:r>
        <w:t>Bronze validates ingestion; Silver validates schema, types, nulls, duplicates; Gold validates business rules and KPIs.</w:t>
      </w:r>
    </w:p>
    <w:p>
      <w:pPr>
        <w:pStyle w:val="Heading2"/>
      </w:pPr>
      <w:r>
        <w:t>Data Lineage</w:t>
      </w:r>
    </w:p>
    <w:p>
      <w:r>
        <w:t>Every transformation is traceable from source system to dashboard and AI Copilot.</w:t>
      </w:r>
    </w:p>
    <w:p>
      <w:pPr>
        <w:pStyle w:val="Heading2"/>
      </w:pPr>
      <w:r>
        <w:t>Schema Evolution</w:t>
      </w:r>
    </w:p>
    <w:p>
      <w:r>
        <w:t>Allow additive changes; review renames; protect business keys from breaking changes.</w:t>
      </w:r>
    </w:p>
    <w:p>
      <w:pPr>
        <w:pStyle w:val="Heading2"/>
      </w:pPr>
      <w:r>
        <w:t>Partition Strategy</w:t>
      </w:r>
    </w:p>
    <w:p>
      <w:r>
        <w:t>Initially partition by year/month/day with future support for warehouse, country, and business unit.</w:t>
      </w:r>
    </w:p>
    <w:p>
      <w:pPr>
        <w:pStyle w:val="Heading2"/>
      </w:pPr>
      <w:r>
        <w:t>Storage Strategy</w:t>
      </w:r>
    </w:p>
    <w:p>
      <w:r>
        <w:t>Parquet is the default format for Landing, Bronze, Silver, Gold, and Feature Store with abstraction for future cloud storage.</w:t>
      </w:r>
    </w:p>
    <w:p>
      <w:pPr>
        <w:pStyle w:val="Heading2"/>
      </w:pPr>
      <w:r>
        <w:t>Data Contracts</w:t>
      </w:r>
    </w:p>
    <w:p>
      <w:r>
        <w:t>Each layer guarantees specific outputs: raw, standardized, business-ready, or feature-ready datasets.</w:t>
      </w:r>
    </w:p>
    <w:p>
      <w:pPr>
        <w:pStyle w:val="Heading2"/>
      </w:pPr>
      <w:r>
        <w:t>Lifecycle</w:t>
      </w:r>
    </w:p>
    <w:p>
      <w:r>
        <w:t>Landing → Bronze → Silver → Gold → Archive with configurable retention.</w:t>
      </w:r>
    </w:p>
    <w:p>
      <w:pPr>
        <w:pStyle w:val="Heading2"/>
      </w:pPr>
      <w:r>
        <w:t>Enterprise Data Catalog</w:t>
      </w:r>
    </w:p>
    <w:p>
      <w:r>
        <w:t>Every dataset receives a catalog entry documenting ownership, consumers, refresh cadence, and purpose.</w:t>
      </w:r>
    </w:p>
    <w:p>
      <w:pPr>
        <w:pStyle w:val="Heading2"/>
      </w:pPr>
      <w:r>
        <w:t>Architectural Principles</w:t>
      </w:r>
    </w:p>
    <w:p>
      <w:r>
        <w:t>Raw data is immutable; transformations are reproducible; metadata is mandatory; quality is measurable; storage remains abstract.</w:t>
      </w:r>
    </w:p>
    <w:p>
      <w:pPr>
        <w:pStyle w:val="Heading2"/>
      </w:pPr>
      <w:r>
        <w:t>Enterprise Data Catalog (Initial)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Consumer</w:t>
            </w:r>
          </w:p>
        </w:tc>
      </w:tr>
      <w:tr>
        <w:tc>
          <w:tcPr>
            <w:tcW w:type="dxa" w:w="1728"/>
          </w:tcPr>
          <w:p>
            <w:r>
              <w:t>bronze_orders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Raw order records</w:t>
            </w:r>
          </w:p>
        </w:tc>
        <w:tc>
          <w:tcPr>
            <w:tcW w:type="dxa" w:w="1728"/>
          </w:tcPr>
          <w:p>
            <w:r>
              <w:t>Connectors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</w:tr>
      <w:tr>
        <w:tc>
          <w:tcPr>
            <w:tcW w:type="dxa" w:w="1728"/>
          </w:tcPr>
          <w:p>
            <w:r>
              <w:t>silver_orders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Standardized orders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</w:tr>
      <w:tr>
        <w:tc>
          <w:tcPr>
            <w:tcW w:type="dxa" w:w="1728"/>
          </w:tcPr>
          <w:p>
            <w:r>
              <w:t>gold_daily_demand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Daily demand metrics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Feature Store</w:t>
            </w:r>
          </w:p>
        </w:tc>
      </w:tr>
      <w:tr>
        <w:tc>
          <w:tcPr>
            <w:tcW w:type="dxa" w:w="1728"/>
          </w:tcPr>
          <w:p>
            <w:r>
              <w:t>features_demand_forecast</w:t>
            </w:r>
          </w:p>
        </w:tc>
        <w:tc>
          <w:tcPr>
            <w:tcW w:type="dxa" w:w="1728"/>
          </w:tcPr>
          <w:p>
            <w:r>
              <w:t>Feature Store</w:t>
            </w:r>
          </w:p>
        </w:tc>
        <w:tc>
          <w:tcPr>
            <w:tcW w:type="dxa" w:w="1728"/>
          </w:tcPr>
          <w:p>
            <w:r>
              <w:t>Forecast features</w:t>
            </w:r>
          </w:p>
        </w:tc>
        <w:tc>
          <w:tcPr>
            <w:tcW w:type="dxa" w:w="1728"/>
          </w:tcPr>
          <w:p>
            <w:r>
              <w:t>Feature Store</w:t>
            </w:r>
          </w:p>
        </w:tc>
        <w:tc>
          <w:tcPr>
            <w:tcW w:type="dxa" w:w="1728"/>
          </w:tcPr>
          <w:p>
            <w:r>
              <w:t>AI</w:t>
            </w:r>
          </w:p>
        </w:tc>
      </w:tr>
    </w:tbl>
    <w:p>
      <w:pPr>
        <w:pStyle w:val="Heading2"/>
      </w:pPr>
      <w:r>
        <w:t>Dataset Specification Sheet Standard</w:t>
      </w:r>
    </w:p>
    <w:p>
      <w:r>
        <w:t>Every major dataset will receive a specification sheet including: dataset name, layer, purpose, source, consumers, primary key, refresh frequency, partition strategy, schema, data quality rules, and example records.</w:t>
      </w:r>
    </w:p>
    <w:p>
      <w:pPr>
        <w:pStyle w:val="Heading2"/>
      </w:pPr>
      <w:r>
        <w:t>Interview Talking Point</w:t>
      </w:r>
    </w:p>
    <w:p>
      <w:r>
        <w:t>SupplyMind Enterprise AI separates ingestion, standardization, business transformation, and feature engineering into distinct layers. This architecture improves governance, traceability, scalability, and future cloud portability.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