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65+ by manner — Hispanic + limited Non-Hispanic races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Deaths age ≥65 by manner — Hispanic only and limited Non-Hispanic race categories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73"/>
        <w:gridCol w:w="1915"/>
        <w:gridCol w:w="1732"/>
        <w:gridCol w:w="1842"/>
        <w:gridCol w:w="1915"/>
      </w:tblGrid>
      <w:tr>
        <w:trPr>
          <w:trHeight w:val="41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Manner of death</w:t>
            </w:r>
          </w:p>
        </w:tc>
      </w:tr>
      <w:tr>
        <w:trPr>
          <w:trHeight w:val="41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ACCIDENT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HOMICIDE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NATURAL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(mean, 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76.07 (9.54)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74.23 (7.21)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72.02 (7.28)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76.30 (8.60)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 (mean,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109.58 (20.24)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97.94 (18.67)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117.17 (19.25)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109.06 (18.79)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 Temp °C (mean,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12.47 (9.94)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14.07 (9.48)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14.67 (10.22)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10.96 (9.34)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Race/Ethnicity (limited)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1,306 (13.1%)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966 (34.5%)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 (66.9%)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3,624 (36.3%)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1,437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 (67.4%)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4,604 (46.1%)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 (3.0%)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 Native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 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(1.6%)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1,025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3,823 (38.3%)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1,775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 (76.0%)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6,170 (61.7%)</w:t>
            </w:r>
          </w:p>
        </w:tc>
      </w:tr>
      <w:tr>
        <w:trPr>
          <w:trHeight w:val="57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Gun-related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2,801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9,997 (100.0%)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57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Heat-related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2,793 (99.7%)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287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9,992 (99.9%)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(0.1%)</w:t>
            </w:r>
          </w:p>
        </w:tc>
      </w:tr>
      <w:tr>
        <w:trPr>
          <w:trHeight w:val="61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Opioid-related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2,032 (72.5%)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270 (94.1%)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 (99.2%)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9,992 (99.9%)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769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(0.1%)</w:t>
            </w:r>
          </w:p>
        </w:tc>
      </w:tr>
      <w:tr>
        <w:trPr>
          <w:trHeight w:val="57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COVID-related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2,731 (97.5%)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287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5,646 (56.5%)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4,351 (43.5%)</w:t>
            </w:r>
          </w:p>
        </w:tc>
      </w:tr>
      <w:tr>
        <w:trPr>
          <w:trHeight w:val="61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Resident ≠ Incident 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2,576 (94.0%)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 (95.8%)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 (86.6%)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9,701 (98.2%)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 (1.8%)</w:t>
            </w:r>
          </w:p>
        </w:tc>
      </w:tr>
      <w:tr>
        <w:trPr>
          <w:trHeight w:val="571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2025-09-24T10:18:29Z</dcterms:modified>
  <cp:category/>
</cp:coreProperties>
</file>