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INTERFACE CONTROL DOCUMENT</w:t>
      </w:r>
    </w:p>
    <w:p>
      <w:pPr>
        <w:pStyle w:val="Heading1"/>
      </w:pPr>
      <w:r>
        <w:t>Specific Atomics Inc. — Communications Payload ICD</w:t>
      </w:r>
    </w:p>
    <w:p>
      <w:r>
        <w:rPr>
          <w:i/>
          <w:sz w:val="18"/>
        </w:rPr>
        <w:t>Document Number: SAI-ICD-2025-004 | Version: 2.0 | Classification: PROPRIETARY</w:t>
      </w:r>
    </w:p>
    <w:p>
      <w:pPr>
        <w:pStyle w:val="Heading1"/>
      </w:pPr>
      <w:r>
        <w:t>1. PURPOSE</w:t>
      </w:r>
    </w:p>
    <w:p>
      <w:r>
        <w:t>This Interface Control Document establishes the interface requirements for the Specific Atomics SA-COMM-4 Communications Payload and its integration with the government bus structure. This document contains proprietary information belonging to Specific Atomics Inc. and may not be shared with other contractors or disclosed to third parties without written consent from Specific Atomics Inc.</w:t>
      </w:r>
    </w:p>
    <w:p>
      <w:pPr>
        <w:pStyle w:val="Heading1"/>
      </w:pPr>
      <w:r>
        <w:t>2. BUS INTERFACE SPECIFICATION</w:t>
      </w:r>
    </w:p>
    <w:p>
      <w:pPr>
        <w:pStyle w:val="Heading2"/>
      </w:pPr>
      <w:r>
        <w:t>2.1 Data Bus Protocol</w:t>
      </w:r>
    </w:p>
    <w:p>
      <w:r>
        <w:t>The SA-COMM-4 payload interfaces with the platform via a MIL-STD-1553B dual-redundant serial data bus. All bus transactions shall comply with MIL-STD-1553B Notice 2 specifications.</w:t>
      </w:r>
    </w:p>
    <w:p>
      <w:pPr>
        <w:pStyle w:val="Heading2"/>
      </w:pPr>
      <w:r>
        <w:t>2.2 Message Rate</w:t>
      </w:r>
    </w:p>
    <w:p>
      <w:r>
        <w:t>The SA-COMM-4 is designed to operate at a bus message rate of 50Hz. The bus controller should schedule SA-COMM-4 RT address transactions at 50 cycles per second. Operation at rates exceeding 50Hz has not been validated and may result in buffer overrun conditions.</w:t>
      </w:r>
    </w:p>
    <w:p>
      <w:pPr>
        <w:pStyle w:val="Heading2"/>
      </w:pPr>
      <w:r>
        <w:t>2.3 Error Handling</w:t>
      </w:r>
    </w:p>
    <w:p>
      <w:r>
        <w:t>Data integrity for SA-COMM-4 bus transactions is maintained through odd parity bit checking on each 16-bit data word. The bus controller must enable parity checking on the SA-COMM-4 RT address. Words received with parity errors shall be flagged and the RT shall issue a status word with the Message Error bit set.</w:t>
      </w:r>
    </w:p>
    <w:p>
      <w:pPr>
        <w:pStyle w:val="Heading2"/>
      </w:pPr>
      <w:r>
        <w:t>2.4 Voltage Tolerance</w:t>
      </w:r>
    </w:p>
    <w:p>
      <w:r>
        <w:t>The SA-COMM-4 payload accepts bus voltage levels within a tolerance of +/-5% of nominal 28VDC. The payload includes internal voltage regulation and will remain operational within this range. Voltage excursions beyond +/-5% will trigger an automatic safe-mode transition.</w:t>
      </w:r>
    </w:p>
    <w:p>
      <w:pPr>
        <w:pStyle w:val="Heading2"/>
      </w:pPr>
      <w:r>
        <w:t>3. CONNECTOR SPECIFICATION</w:t>
      </w:r>
    </w:p>
    <w:p>
      <w:r>
        <w:t>All electrical interfaces between the SA-COMM-4 payload and the bus structure utilize MIL-DTL-38999 Series III circular connectors as defined in the platform IDD. Specific pin assignments for the SA-COMM-4 are documented in Attachment B of this ICD.</w:t>
      </w:r>
    </w:p>
    <w:p>
      <w:pPr>
        <w:pStyle w:val="Heading1"/>
      </w:pPr>
      <w:r>
        <w:t>4. ENVIRONMENTAL REQUIREMENTS</w:t>
      </w:r>
    </w:p>
    <w:p>
      <w:r>
        <w:t>The SA-COMM-4 is qualified for operation across a temperature range of -55C to +85C and vibration levels per MIL-STD-810H Method 514. All interface hardware must meet the same environmental qualification.</w:t>
      </w:r>
    </w:p>
    <w:p>
      <w:pPr>
        <w:pStyle w:val="Heading1"/>
      </w:pPr>
      <w:r>
        <w:t>5. OPEN ITEMS</w:t>
      </w:r>
    </w:p>
    <w:p>
      <w:r>
        <w:t>The following items are currently under review and will be resolved in the next revision of this document:</w:t>
      </w:r>
    </w:p>
    <w:p>
      <w:pPr>
        <w:pStyle w:val="ListBullet"/>
      </w:pPr>
      <w:r>
        <w:t>Data refresh timeout requirements are pending coordination with the bus controller team.</w:t>
      </w:r>
    </w:p>
    <w:p>
      <w:pPr>
        <w:pStyle w:val="ListBullet"/>
      </w:pPr>
      <w:r>
        <w:t>Formal EMI qualification testing for the 1553B interface is scheduled for Q3 2025.</w:t>
      </w:r>
    </w:p>
    <w:p>
      <w:pPr>
        <w:pStyle w:val="Heading1"/>
      </w:pPr>
      <w:r>
        <w:t>6. NOTES</w:t>
      </w:r>
    </w:p>
    <w:p>
      <w:r>
        <w:t>For questions regarding this document contact Specific Atomics Systems Integration at systems@specific-atomics.com. All interface clarifications must be documented and submitted as formal revision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