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6B"/>
          <w:sz w:val="36"/>
          <w:szCs w:val="36"/>
        </w:rPr>
        <w:t xml:space="preserve">Dataset sintetico per il masking delle chat del Contact Centre</w:t>
      </w:r>
    </w:p>
    <w:p>
      <w:pPr>
        <w:spacing w:after="360"/>
      </w:pPr>
      <w:r>
        <w:rPr>
          <w:color w:val="595959"/>
          <w:sz w:val="22"/>
          <w:szCs w:val="22"/>
        </w:rPr>
        <w:t xml:space="preserve">Specifica di progetto – bozza v0.2, settembre 2026</w:t>
      </w:r>
    </w:p>
    <w:p>
      <w:pPr>
        <w:pStyle w:val="Heading1"/>
      </w:pPr>
      <w:r>
        <w:t xml:space="preserve">1. Obiettivo</w:t>
      </w:r>
    </w:p>
    <w:p>
      <w:pPr>
        <w:spacing w:after="120"/>
      </w:pPr>
      <w:r>
        <w:t xml:space="preserve">Il masking attuale delle chat del Contact Centre non è affidabile. L'obiettivo è un nuovo algoritmo di masking basato su NER. Il primo passo è un dataset sintetico di chat tra utenti e assistente virtuale, bilanciato e annotato a livello di span, da usare per l'addestramento e la valutazione del modello.</w:t>
      </w:r>
    </w:p>
    <w:p>
      <w:pPr>
        <w:spacing w:after="120"/>
      </w:pPr>
      <w:r>
        <w:t xml:space="preserve">Le chat reali restano sui sistemi Istat. La generazione usa un LLM esterno, a cui non arriva testo reale: il prompt contiene solo parametri derivati da distribuzioni aggregate e dalla tassonomia descritta in questo documento.</w:t>
      </w:r>
    </w:p>
    <w:p>
      <w:pPr>
        <w:pStyle w:val="Heading1"/>
      </w:pPr>
      <w:r>
        <w:t xml:space="preserve">2. Evidenze dal campione reale</w:t>
      </w:r>
    </w:p>
    <w:p>
      <w:pPr>
        <w:spacing w:after="120"/>
      </w:pPr>
      <w:r>
        <w:t xml:space="preserve">Il campione è un estratto di 221 chat del 20 aprile 2026, già sottoposte al masking attuale. Le evidenze principali sono quattro.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Composizione. </w:t>
      </w:r>
      <w:r>
        <w:t xml:space="preserve">171 chat da Portale imprese, 47 da Contact Centre, 2 da console operatore, 1 di test. La rilevazione Prodcom copre circa metà del volume. Le famiglie, le PA e i richiedenti di dati sono una minoranza.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Struttura. </w:t>
      </w:r>
      <w:r>
        <w:t xml:space="preserve">Mediana di 5 turni, massimo 19. I messaggi utente hanno una mediana di 43 caratteri; i più lunghi, fino a 3.000 caratteri, sono testi incollati da PEC o lettere Istat.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Stile. </w:t>
      </w:r>
      <w:r>
        <w:t xml:space="preserve">Turni frammentati, risposte con token isolati (chiave indagine, "responsabile"), maiuscolo, refusi, frustrazione crescente. Tre chat sono in inglese o tedesco.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Masking attuale. </w:t>
      </w:r>
      <w:r>
        <w:t xml:space="preserve">I placeholder compaiono in 56 messaggi utente. Gli errori vanno in entrambe le direzioni: nomi di indagine, codici IST e parti di parola mascherati per errore; codici utente e codici impresa lasciati in chiaro. Le cause sono analizzate nella sezione 3.</w:t>
      </w:r>
    </w:p>
    <w:p>
      <w:pPr>
        <w:spacing w:after="120"/>
      </w:pPr>
      <w:r>
        <w:t xml:space="preserve">Ne segue che il campione non può fare da gold standard senza ri-annotazione manuale.</w:t>
      </w:r>
    </w:p>
    <w:p>
      <w:pPr>
        <w:pStyle w:val="Heading1"/>
      </w:pPr>
      <w:r>
        <w:t xml:space="preserve">3. Masking attuale (baseline)</w:t>
      </w:r>
    </w:p>
    <w:p>
      <w:pPr>
        <w:spacing w:after="120"/>
      </w:pPr>
      <w:r>
        <w:t xml:space="preserve">Il sistema attuale applica in sequenza un insieme di regex e un modello BERT fine-tuned (label NAME e ADDRESS, con mappatura di PER e LOC). Le cause degli errori osservati sono sei.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Numeri lunghi. </w:t>
      </w:r>
      <w:r>
        <w:t xml:space="preserve">La regex del telefono intercetta quasi ogni sequenza di 7-12 cifre. Codici impresa e altri numeri finiscono in [NUMERO], un'etichetta generica.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Codici corti. </w:t>
      </w:r>
      <w:r>
        <w:t xml:space="preserve">Codici impresa e codici utente sotto le 7 cifre non hanno regex e restano in chiaro. Le varianti rumorose (lettera O al posto dello zero, spazi) sfuggono ai pattern esatti.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Luoghi. </w:t>
      </w:r>
      <w:r>
        <w:t xml:space="preserve">La mappatura di LOC su ADDRESS trasforma in indirizzi i luoghi generici e parte dei nomi di indagine.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Pezzi di parola. </w:t>
      </w:r>
      <w:r>
        <w:t xml:space="preserve">Con aggregation_strategy="simple" le entità possono fermarsi a metà di una parola, da cui maschere come "[NAME]E".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 dell'agente. </w:t>
      </w:r>
      <w:r>
        <w:t xml:space="preserve">La pipeline elabora anche i messaggi dell'agente, che ripetono nomi di indagine e procedure.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Date. </w:t>
      </w:r>
      <w:r>
        <w:t xml:space="preserve">Tutte le date sono mascherate, incluse scadenze e anni di riferimento.</w:t>
      </w:r>
    </w:p>
    <w:p>
      <w:pPr>
        <w:spacing w:after="120"/>
      </w:pPr>
      <w:r>
        <w:t xml:space="preserve">Questo sistema è la baseline da confrontare con il nuovo modello sul gold reale.</w:t>
      </w:r>
    </w:p>
    <w:p>
      <w:pPr>
        <w:pStyle w:val="Heading1"/>
      </w:pPr>
      <w:r>
        <w:t xml:space="preserve">4. Perimetro e tassonomia</w:t>
      </w:r>
    </w:p>
    <w:p>
      <w:pPr>
        <w:spacing w:after="120"/>
      </w:pPr>
      <w:r>
        <w:t xml:space="preserve">Il dataset copre due blocchi. Il blocco A riguarda i rispondenti alle indagini e adotta le categorie e sottocategorie di richiesta della Tavola 2.1. Il blocco B riguarda gli utenti degli altri servizi del Contact Centre. Una categoria "Altro / fuori perimetro", comune ai due blocchi, raccoglie saluti, test e richieste non pertinenti. In totale le celle sono 57.</w:t>
      </w:r>
    </w:p>
    <w:p>
      <w:pPr>
        <w:spacing w:after="120"/>
      </w:pPr>
      <w:r>
        <w:t xml:space="preserve">Ogni cella è associata ai tipi di utente plausibili e alle entità che vi compaiono in modo naturale. Tipi di utente: I = imprese, F = famiglie, C = cittadini, P = PA e scuole, R = ricercatori e università, M = media.</w:t>
      </w:r>
    </w:p>
    <w:p>
      <w:pPr>
        <w:pStyle w:val="Heading2"/>
      </w:pPr>
      <w:r>
        <w:t xml:space="preserve">4.1 Blocco A – Rispondenti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1000"/>
        <w:gridCol w:w="29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Sottocategoria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Utenti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Entità tipiche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Accesso e navigazione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Problemi accesso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 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COD_UTENTE, PASSWORD, EMAIL, COD_UNITA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deleghe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EMAIL, CF, PASSWORD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Difficoltà d'uso dei portali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COD_UTENTE,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Aspetti normativi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Normativa e obbligo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F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ORG, NUM_PRATICA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Privacy e conservazione dati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CF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Comunicazione dei dati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Composizione del campione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Informazioni sul campione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Impossibilità a partecipare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PHONE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Lingua straniera (chat in altre lingue)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PHONE,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Assenza prolungata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Calamità naturali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ADDRESS,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Rifiuto, indisponibilità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Prenotazione intervista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PHONE,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Accertamenti e sanzioni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NUM_PRATICA, ORG, PIVA, CF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Informazioni sull'indagine e sul questionario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Facsimile questionario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Identificazione rilevatore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PHONE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Modalità di partecipazione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Informazioni specifiche sull'indagine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F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Problemi invio questionario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COD_UTENTE, NUM_PRATICA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Durata questionario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 dati precompilati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ORG, PIVA,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Ricevuta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NUM_PRATICA, COD_UNITA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Salvataggio parziale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COD_UTENTE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 su stato questionario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COD_UNITA, NUM_PRATICA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Riapertura questionario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COD_UNITA,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Comunicazione con Istat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Lamentela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EMAIL, PHONE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Informativa, sollecito, promemoria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F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NUM_PRATICA, ORG,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La sottocategoria "Malattia grave o altri gravi problemi" è esclusa: introdurrebbe dati sanitari, fuori perimetro in questa fase.</w:t>
      </w:r>
    </w:p>
    <w:p>
      <w:pPr>
        <w:spacing w:after="120"/>
      </w:pPr>
      <w:r>
        <w:t xml:space="preserve">Le richieste osservate nel campione reale si collocano così: unità locale aggiunta per errore in "Difficoltà d'uso dei portali"; ATECO e ragione sociale in "Modifica dati precompilati"; questionario che risulta in corso dopo l'invio in "Info su stato questionario"; copie di questionari degli anni precedenti in "Ricevuta"; PEC incollate in "Informativa, sollecito, promemoria".</w:t>
      </w:r>
    </w:p>
    <w:p>
      <w:pPr>
        <w:pStyle w:val="Heading2"/>
      </w:pPr>
      <w:r>
        <w:t xml:space="preserve">4.2 Blocco B – Utenti dei servizi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1000"/>
        <w:gridCol w:w="29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Servizio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Sottocategoria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Utenti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Entità tipiche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Assistenza ricerca dati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Dove trovo il dato 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Dati a livello territoriale fine (comune, sezione)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 R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Definizioni, metodologia, differenze tra fonti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M 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Calendario diffusione, prossimo rilascio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 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Dati storici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Serie lunghe, censimenti storici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Cartografia e basi territoriali storiche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 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Dati europei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Dati Eurostat, confronti 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M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Differenze tra dati Istat ed Eurostat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M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Rilascio di microdati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disponibili (MFR, file per la ricerca, ADELE)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Requisiti e modulistica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Stato della richiesta, allegati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NUM_PRATICA, EMAIL,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Accesso al laboratorio ADELE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NUM_PRATICA,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Elaborazioni personalizzate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Richiesta di tabelle ad hoc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 I 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Costi, preventivo, tempi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ORG, PIVA, EMAIL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Stato dell'elaborazione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NUM_PRATICA,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Acquisto volumi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Disponibilità e ordine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 R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ADDRESS,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Spedizione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ADDRESS, PHONE, NUM_PRATICA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Fatturazione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ORG, PIVA, CF, ADDRESS, EMAIL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Supporto media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 di un dato per un articolo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PHONE, EMAIL,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Richiesta di intervista o esperto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PHONE, 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Sportello cittadini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Rivalutazione FOI (affitto, assegno)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Certificazione ufficiale degli indici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 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NUM_PRATICA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Informazioni sull'Istat (concorsi, tirocini)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Accesso ai propri dati personali (GDPR)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CF,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Segnala un errore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Errore in tavola, dataset o pubblicazione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Errore sul sito, link rotto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Invia un reclamo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Disservizio, tempi di risposta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PERSON, EMAIL, PHONE, NUM_PRATICA</w:t>
            </w:r>
          </w:p>
        </w:tc>
      </w:tr>
    </w:tbl>
    <w:p>
      <w:pPr>
        <w:pStyle w:val="Heading1"/>
      </w:pPr>
      <w:r>
        <w:t xml:space="preserve">5. Criterio di masking e label</w:t>
      </w:r>
    </w:p>
    <w:p>
      <w:pPr>
        <w:spacing w:after="120"/>
      </w:pPr>
      <w:r>
        <w:rPr>
          <w:b/>
          <w:bCs/>
        </w:rPr>
        <w:t xml:space="preserve">Criterio. </w:t>
      </w:r>
      <w:r>
        <w:t xml:space="preserve">Si maschera ciò che identifica un rispondente, un richiedente o una persona. Il rispondente può essere una persona, una famiglia, un'impresa o una PA. Gli enti citati come fonte o come luogo restano in chiaro.</w:t>
      </w:r>
    </w:p>
    <w:p>
      <w:pPr>
        <w:pStyle w:val="Heading2"/>
      </w:pPr>
      <w:r>
        <w:t xml:space="preserve">5.1 Label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38"/>
        <w:gridCol w:w="2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Definizione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Esempi (fittizi)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e/o cognome di una persona: utente, delegato, titolare, rilevatore, giornalista, operatore.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sono Giulia Ferri; il rilevatore sig. Conti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di un'organizzazione rispondente o richiedente: impresa, ente pubblico, scuola, università, testata. Include le ditte individuali.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scrivo per la Tecnoplast srl; sono del comune di X, dobbiamo compilare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Indirizzo email di una persona o di un'organizzazione rispondente o richiedente.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m.bianchi@esempio.it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Numero di telefono di una persona o di un'organizzazione rispondente o richiedente.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347 123 4567; 06 1234567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Indirizzo postale completo o parziale con via e numero civico: residenza, sede legale, unità locale, spedizione.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via Garibaldi 12, 20100 Milano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CF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Codice fiscale di persona fisica (16 caratteri).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RSSMRA80A01H501U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PIVA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Partita IVA o codice fiscale numerico di impresa o ente (11 cifre, con o senza prefisso IT).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12345678901; IT12345678901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COD_UNITA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Codice identificativo Istat dell'unità rispondente: codice impresa, codice ente, codice famiglia.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codice impresa 123456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COD_UTENTE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Nome utente o codice utente dei portali di indagine. Formati noti: P0 + 8 cifre (Portale imprese), QOL + almeno 5 cifre (indagini sulle famiglie), codice numerico di almeno 7 cifre.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P012345678; QOL12345; m.rossi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 o credenziale di accesso scritta dall'utente, con o senza parola chiave.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password: Abc12345!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NUM_PRATICA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Numero di protocollo, di richiesta, di pratica o di ticket.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Prot. n. 1234567/25; richiesta n. 000123</w:t>
            </w:r>
          </w:p>
        </w:tc>
      </w:tr>
    </w:tbl>
    <w:p>
      <w:pPr>
        <w:pStyle w:val="Heading2"/>
      </w:pPr>
      <w:r>
        <w:t xml:space="preserve">5.2 Regole di confine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Ruolo degli enti. </w:t>
      </w:r>
      <w:r>
        <w:t xml:space="preserve">Lo stesso ente si maschera se è rispondente o richiedente e resta in chiaro se è citato. "Sono del comune di X, dobbiamo compilare" va mascherato; "i dati del comune di X" no. Vale per comuni, scuole, università, ASL e testate giornalistiche.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Ditte individuali. </w:t>
      </w:r>
      <w:r>
        <w:t xml:space="preserve">Se la ragione sociale contiene nome e cognome, l'etichetta è 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Date. </w:t>
      </w:r>
      <w:r>
        <w:t xml:space="preserve">Non si mascherano. Scadenze, date d'invio e anni di riferimento restano in chiaro.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Luoghi generici. </w:t>
      </w:r>
      <w:r>
        <w:t xml:space="preserve">Città o comuni senza via e numero civico restano in chiaro, salvo che il comune sia rispondente o richiedente.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Dati statistici. </w:t>
      </w:r>
      <w:r>
        <w:t xml:space="preserve">Valori dichiarati nella chat (addetti, quantità prodotte, fatturato) sono fuori perimetro 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Dati sanitari. </w:t>
      </w:r>
      <w:r>
        <w:t xml:space="preserve">Fuori perimetro in questa fase.</w:t>
      </w:r>
    </w:p>
    <w:p>
      <w:pPr>
        <w:pStyle w:val="Heading2"/>
      </w:pPr>
      <w:r>
        <w:t xml:space="preserve">5.3 Hard negative</w:t>
      </w:r>
    </w:p>
    <w:p>
      <w:pPr>
        <w:spacing w:after="120"/>
      </w:pPr>
      <w:r>
        <w:t xml:space="preserve">Il dataset include apposta elementi con forma simile alle entità ma che non vanno mascherati: codici PSN delle indagini nelle diverse forme (IST-00070, 00070, 70) e con i prefissi degli altri titolari (MTE-, SAL-, PUI-…); chiavi indagine del portale; codici ATECO, codici prodotto Prodcom e tariffa doganale; anni, scadenze e importi FOI; il 1510 e i contatti Istat pubblici; enti e testate citati come fonte o come luogo.</w:t>
      </w:r>
    </w:p>
    <w:p>
      <w:pPr>
        <w:pStyle w:val="Heading1"/>
      </w:pPr>
      <w:r>
        <w:t xml:space="preserve">6. Generazione</w:t>
      </w:r>
    </w:p>
    <w:p>
      <w:pPr>
        <w:spacing w:after="120"/>
      </w:pPr>
      <w:r>
        <w:t xml:space="preserve">La generazione combina un LLM e un'iniezione da template. L'LLM scrive la chat con slot tipizzati al posto delle entità, solo nei turni utente. Gli slot vengono poi riempiti con valori fittizi (Faker it_IT e generatori dedicati per CF, P.IVA e codici Istat), con varianti di superficie: maiuscolo, minuscolo, formati diversi. Gli offset degli span sono calcolati durante l'iniezione, quindi le annotazioni sono esatte per costruzione.</w:t>
      </w:r>
    </w:p>
    <w:p>
      <w:pPr>
        <w:spacing w:after="120"/>
      </w:pPr>
      <w:r>
        <w:t xml:space="preserve">Ogni chat è condizionata su cella, tipo di utente, indagine, registro dell'utente, numero di turni e lunghezza dei messaggi. Numero di turni e lunghezze seguono le distribuzioni del campione reale.</w:t>
      </w:r>
    </w:p>
    <w:p>
      <w:pPr>
        <w:pStyle w:val="Heading2"/>
      </w:pPr>
      <w:r>
        <w:t xml:space="preserve">6.1 Indagini e formati</w:t>
      </w:r>
    </w:p>
    <w:p>
      <w:pPr>
        <w:spacing w:after="120"/>
      </w:pPr>
      <w:r>
        <w:t xml:space="preserve">L'indagine di ogni chat si campiona dall'elenco PSN 2023-2025 (aggiornamento 2024-2025) delle rilevazioni con obbligo di risposta, coerente con il tipo di utente: indagini socio-demografiche per le famiglie, economiche per le imprese, su enti e istituzioni per le PA. L'elenco delle rilevazioni sanzionabili, con le soglie per unità, fa da base per le risposte dell'agente nelle celle su obbligo e sanzioni.</w:t>
      </w:r>
    </w:p>
    <w:p>
      <w:pPr>
        <w:spacing w:after="120"/>
      </w:pPr>
      <w:r>
        <w:t xml:space="preserve">I codici si generano nei formati noti (sezione 5.1) e in varianti rumorose: lettera O al posto dello zero, spazi e separatori, minuscolo, codici troncati o con cifre mancanti. Le password seguono sia la forma dichiarata ("password: …") sia quella nuda, incollata senza parola chiave.</w:t>
      </w:r>
    </w:p>
    <w:p>
      <w:pPr>
        <w:pStyle w:val="Heading2"/>
      </w:pPr>
      <w:r>
        <w:t xml:space="preserve">6.2 Parametri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Chat senza entità. </w:t>
      </w:r>
      <w:r>
        <w:t xml:space="preserve">20% nelle celle con profilo di entità; 90% nelle celle senza. In totale circa il 35-40%.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negative. </w:t>
      </w:r>
      <w:r>
        <w:t xml:space="preserve">Presenti in almeno metà delle chat. Circa il 10% delle chat contiene un ente citato ma non mascherato, per il contrasto di ruolo.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Lingue straniere. </w:t>
      </w:r>
      <w:r>
        <w:t xml:space="preserve">100% nella cella "Lingua straniera" (romeno, arabo, albanese, cinese, ucraino, inglese, spagnolo; una parte in code-switching con l'italiano). 30% nelle celle microdati e dati europei (soprattutto inglese, poi tedesco e francese). 3% nel resto.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Minimo per label. </w:t>
      </w:r>
      <w:r>
        <w:t xml:space="preserve">Almeno 300 occorrenze per label nel train. Le label sotto soglia si integrano alzando la probabilità di iniezione nelle celle dove sono plausibili.</w:t>
      </w:r>
    </w:p>
    <w:p>
      <w:pPr>
        <w:pStyle w:val="Heading1"/>
      </w:pPr>
      <w:r>
        <w:t xml:space="preserve">7. Volumi e split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Chat per cella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~3.400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Bilanciato sulle 57 celle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~570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Bilanciato; per tuning ed early stopping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bilanciato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~850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Generatore diverso dal train (modello o template di prompt)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realistico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~850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40% sulle celle Accesso e navigazione, resto uniforme; generatore diverso dal train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Gold reale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 reali ri-annotate a mano, solo su sistemi Istat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I test sintetici usano un generatore diverso dal train, per non misurare l'adattamento del modello allo stile del generatore. Il gold reale è il riferimento finale della valutazione.</w:t>
      </w:r>
    </w:p>
    <w:p>
      <w:pPr>
        <w:pStyle w:val="Heading1"/>
      </w:pPr>
      <w:r>
        <w:t xml:space="preserve">8. Punti aperti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Corrispondenza tra chiavi indagine del portale (es. 90006) e codici PSN.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del codice impresa.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delle FAQ del Contact Centre (sezione Articoli) come base per le risposte dell'assistente.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Modello o template da usare per generare i test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Protocollo di annotazione per il gold reale.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label aggiuntive (IBAN, targa) se il perimetro si estende.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2026-09-26T06:57:20.873Z</dcterms:created>
  <dcterms:modified xsi:type="dcterms:W3CDTF">2026-09-26T06:57:20.881Z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