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rFonts w:ascii="Arial" w:hAnsi="Arial" w:cs="Arial"/>
        </w:rPr>
        <w:t>Detecting Personal Data in Chatbot Conversations: Pretrained NER Models on a Synthetic Benchmark, with an Address-Coverage Evaluation</w:t>
      </w:r>
    </w:p>
    <w:p>
      <w:pPr>
        <w:pStyle w:val="Heading1"/>
      </w:pPr>
      <w:r>
        <w:rPr>
          <w:rFonts w:ascii="Arial" w:hAnsi="Arial" w:cs="Arial"/>
        </w:rPr>
        <w:t>Introduction</w:t>
      </w:r>
    </w:p>
    <w:p>
      <w:pPr/>
      <w:r>
        <w:rPr>
          <w:rFonts w:ascii="Arial" w:hAnsi="Arial" w:cs="Arial"/>
        </w:rPr>
        <w:t>National statistical institutes (NSIs) run chatbots for contact centres and survey support. Users type names, addresses, phone numbers and codes in these conversations. Reusing the text for analysis requires anonymisation, within a statistical disclosure control framework. The text anonymisation literature mostly addresses entity detection, while risk modelling comes from privacy-preserving data publishing [2].</w:t>
      </w:r>
    </w:p>
    <w:p>
      <w:pPr/>
      <w:r>
        <w:rPr>
          <w:rFonts w:ascii="Arial" w:hAnsi="Arial" w:cs="Arial"/>
        </w:rPr>
        <w:t>A first pipeline for the chatbots of the Italian National Institute of Statistics (Istat) combines regular expressions for structured identifiers with a fine-tuned multilingual BERT for names and locations [1]. It was trained on synthetic sentences and evaluated on 300 manually annotated real conversations (sensitivity 0.966, precision 0.704). That evaluation has two limits. The gold standard is built on real chats, so it stays inside the institute, it is costly to extend and it cannot be used to compare many off-the-shelf models. And span-level metrics say how many entities were found, not how much of a person’s identity stays visible. This matters most for addresses, which have a street, a number, an internal and a municipality: a model that finds only the municipality scores a hit and leaves the street and the number exposed.</w:t>
      </w:r>
    </w:p>
    <w:p>
      <w:pPr/>
      <w:r>
        <w:rPr>
          <w:rFonts w:ascii="Arial" w:hAnsi="Arial" w:cs="Arial"/>
        </w:rPr>
        <w:t>This paper addresses both limits, with three contributions. First, we build a synthetic benchmark of 289 institutional chatbot conversations with a programmatic gold standard, which needs no real conversations and can be regenerated and extended. Second, we compare four pretrained NER models, without fine-tuning, on PERSON and LOCATION. Third, we add an address-coverage measure that does not depend on how a model splits an address into spans, and we report bootstrap confidence intervals.</w:t>
      </w:r>
    </w:p>
    <w:p>
      <w:pPr>
        <w:pStyle w:val="Heading1"/>
      </w:pPr>
      <w:r>
        <w:rPr>
          <w:rFonts w:ascii="Arial" w:hAnsi="Arial" w:cs="Arial"/>
        </w:rPr>
        <w:t>Methodology</w:t>
      </w:r>
    </w:p>
    <w:p>
      <w:pPr>
        <w:pStyle w:val="Heading2"/>
      </w:pPr>
      <w:r>
        <w:rPr>
          <w:rFonts w:ascii="Arial" w:hAnsi="Arial" w:cs="Arial"/>
        </w:rPr>
        <w:t>Synthetic dataset</w:t>
      </w:r>
    </w:p>
    <w:p>
      <w:pPr/>
      <w:r>
        <w:rPr>
          <w:rFonts w:ascii="Arial" w:hAnsi="Arial" w:cs="Arial"/>
        </w:rPr>
        <w:t>The catalogue has 12 scenarios derived from anonymised chatbot conversations, for example access recovery, form-filling support and change of residence. We generated 300 conversations: 230 from the general scenarios, 10 to rebalance five central scenarios and 60 as an address stress test. In total, 175 contain personal data and 125 do not.</w:t>
      </w:r>
    </w:p>
    <w:p>
      <w:pPr/>
      <w:r>
        <w:rPr>
          <w:rFonts w:ascii="Arial" w:hAnsi="Arial" w:cs="Arial"/>
        </w:rPr>
        <w:t>Generation splits three tasks. The code chooses scenario, style and values. The language model (gpt-5.6-terra) writes only the dialogue, using authorised placeholders. The code then replaces the placeholders with synthetic values, computes the offsets and builds the gold standard. Names, surnames, streets and municipalities come from local catalogues; house numbers, internals and other values follow versioned rules. The model produces no annotations, so it does not decide what counts as correct.</w:t>
      </w:r>
    </w:p>
    <w:p>
      <w:pPr/>
      <w:r>
        <w:rPr>
          <w:rFonts w:ascii="Arial" w:hAnsi="Arial" w:cs="Arial"/>
        </w:rPr>
        <w:t>Automatic checks on schema, slots, offsets, turn alternation and coherence validated 289 conversations (96.3%). The 11 excluded ones are kept with the reason and were not corrected. The benchmark has 123 PERSON and 296 LOCATION annotations. The address stress test uses six surface forms, ten prompts each: full (</w:t>
      </w:r>
      <w:r>
        <w:rPr>
          <w:rFonts w:ascii="Arial" w:hAnsi="Arial" w:cs="Arial"/>
          <w:i/>
        </w:rPr>
        <w:t>Via Angelo Lauri 96, Anzio</w:t>
      </w:r>
      <w:r>
        <w:rPr>
          <w:rFonts w:ascii="Arial" w:hAnsi="Arial" w:cs="Arial"/>
        </w:rPr>
        <w:t>), without street type, without house number, without municipality, with complex number (</w:t>
      </w:r>
      <w:r>
        <w:rPr>
          <w:rFonts w:ascii="Arial" w:hAnsi="Arial" w:cs="Arial"/>
          <w:i/>
        </w:rPr>
        <w:t>96/A</w:t>
      </w:r>
      <w:r>
        <w:rPr>
          <w:rFonts w:ascii="Arial" w:hAnsi="Arial" w:cs="Arial"/>
        </w:rPr>
        <w:t>) and with internal. The benchmark contains 124 address occurrences. A repeated address counts again, because an unrecognised repetition leaves the value exposed.</w:t>
      </w:r>
    </w:p>
    <w:p>
      <w:pPr/>
      <w:r>
        <w:rPr>
          <w:rFonts w:ascii="Arial" w:hAnsi="Arial" w:cs="Arial"/>
        </w:rPr>
        <w:t>The gold allows overlapping annotations. An address is stored as a whole ADDRESS and, in the NER view, as one LOCATION for street and number and one for the municipality. The components are produced during generation and not inferred afterwards.</w:t>
      </w:r>
    </w:p>
    <w:p>
      <w:pPr>
        <w:pStyle w:val="Heading2"/>
      </w:pPr>
      <w:r>
        <w:rPr>
          <w:rFonts w:ascii="Arial" w:hAnsi="Arial" w:cs="Arial"/>
        </w:rPr>
        <w:t>Workflow and models</w:t>
      </w:r>
    </w:p>
    <w:p>
      <w:pPr/>
      <w:r>
        <w:rPr>
          <w:rFonts w:ascii="Arial" w:hAnsi="Arial" w:cs="Arial"/>
        </w:rPr>
        <w:t>Figure 1 shows the workflow. Regex/lookup and NER read the original text independently, and each detection keeps its provenance. A later step merges compatible detections and keeps overlaps and conflicts visible. A conversation-level policy then decides on MASK, KEEP, GENERALIZE or REVIEW. The experiments evaluate only the NER branch, at message level.</w:t>
      </w:r>
    </w:p>
    <w:p>
      <w:pPr>
        <w:keepNext/>
        <w:spacing w:after="0"/>
        <w:jc w:val="center"/>
      </w:pPr>
      <w:r>
        <w:drawing>
          <wp:inline xmlns:a="http://schemas.openxmlformats.org/drawingml/2006/main" xmlns:pic="http://schemas.openxmlformats.org/drawingml/2006/picture">
            <wp:extent cx="5400000" cy="1851170"/>
            <wp:docPr id="1" name="Picture 1"/>
            <wp:cNvGraphicFramePr>
              <a:graphicFrameLocks noChangeAspect="1"/>
            </wp:cNvGraphicFramePr>
            <a:graphic>
              <a:graphicData uri="http://schemas.openxmlformats.org/drawingml/2006/picture">
                <pic:pic>
                  <pic:nvPicPr>
                    <pic:cNvPr id="0" name="pipeline.png"/>
                    <pic:cNvPicPr/>
                  </pic:nvPicPr>
                  <pic:blipFill>
                    <a:blip r:embed="rId20"/>
                    <a:stretch>
                      <a:fillRect/>
                    </a:stretch>
                  </pic:blipFill>
                  <pic:spPr>
                    <a:xfrm>
                      <a:off x="0" y="0"/>
                      <a:ext cx="5400000" cy="1851170"/>
                    </a:xfrm>
                    <a:prstGeom prst="rect"/>
                  </pic:spPr>
                </pic:pic>
              </a:graphicData>
            </a:graphic>
          </wp:inline>
        </w:drawing>
      </w:r>
    </w:p>
    <w:p>
      <w:pPr>
        <w:pStyle w:val="Caption"/>
        <w:keepNext w:val="0"/>
      </w:pPr>
      <w:r>
        <w:rPr>
          <w:rFonts w:ascii="Arial" w:hAnsi="Arial" w:cs="Arial"/>
        </w:rPr>
        <w:t>Figure 1. Detection and masking workflow. Only the NER branch is evaluated here.</w:t>
      </w:r>
    </w:p>
    <w:p>
      <w:pPr/>
      <w:r>
        <w:rPr>
          <w:rFonts w:ascii="Arial" w:hAnsi="Arial" w:cs="Arial"/>
        </w:rPr>
        <w:t xml:space="preserve">We compare GLiNER multi, GLiNER PII [3], WikiNEuRal [4] and Piiranha [5] on the same messages, one at a time, with no fine-tuning and no access to the gold or to the conversation. GLiNER multi receives the labels </w:t>
      </w:r>
      <w:r>
        <w:rPr>
          <w:rFonts w:ascii="Arial" w:hAnsi="Arial" w:cs="Arial"/>
          <w:i/>
        </w:rPr>
        <w:t>person</w:t>
      </w:r>
      <w:r>
        <w:rPr>
          <w:rFonts w:ascii="Arial" w:hAnsi="Arial" w:cs="Arial"/>
        </w:rPr>
        <w:t xml:space="preserve"> and </w:t>
      </w:r>
      <w:r>
        <w:rPr>
          <w:rFonts w:ascii="Arial" w:hAnsi="Arial" w:cs="Arial"/>
          <w:i/>
        </w:rPr>
        <w:t>location</w:t>
      </w:r>
      <w:r>
        <w:rPr>
          <w:rFonts w:ascii="Arial" w:hAnsi="Arial" w:cs="Arial"/>
        </w:rPr>
        <w:t xml:space="preserve">. GLiNER PII also receives </w:t>
      </w:r>
      <w:r>
        <w:rPr>
          <w:rFonts w:ascii="Arial" w:hAnsi="Arial" w:cs="Arial"/>
          <w:i/>
        </w:rPr>
        <w:t>address</w:t>
      </w:r>
      <w:r>
        <w:rPr>
          <w:rFonts w:ascii="Arial" w:hAnsi="Arial" w:cs="Arial"/>
        </w:rPr>
        <w:t>, mapped to LOCATION. Both use threshold 0.5. WikiNEuRal uses PER and LOC. Piiranha uses GIVENNAME and SURNAME, merged into PERSON, and STREET, BUILDINGNUM and CITY: STREET and BUILDINGNUM are recomposed into one LOCATION and CITY stays separate. Thresholds were not tuned on the 289 conversations. The label mapping is part of the protocol: a first run that left out STREET and BUILDINGNUM gave Piiranha 0/124 complete addresses, and we do not use it. The weights of WikiNEuRal and Piiranha have non-commercial licences, to be checked before any production use.</w:t>
      </w:r>
    </w:p>
    <w:p>
      <w:pPr>
        <w:pStyle w:val="Heading2"/>
      </w:pPr>
      <w:r>
        <w:rPr>
          <w:rFonts w:ascii="Arial" w:hAnsi="Arial" w:cs="Arial"/>
        </w:rPr>
        <w:t>Evaluation</w:t>
      </w:r>
    </w:p>
    <w:p>
      <w:pPr/>
      <w:r>
        <w:rPr>
          <w:rFonts w:ascii="Arial" w:hAnsi="Arial" w:cs="Arial"/>
        </w:rPr>
        <w:t>Exact match counts a prediction as correct when type, message and span boundaries equal the gold. We report micro precision, recall and F1. Address coverage is the share of the alphanumeric characters of an address covered by the union of the predicted LOCATION spans. An address is complete when all its characters are covered. With the union, one span for the whole address and two spans for street and municipality are equivalent. We also report coverage by component. Confidence intervals are 95% percentile intervals from 2,000 bootstrap resamples of conversations.</w:t>
      </w:r>
    </w:p>
    <w:p>
      <w:pPr>
        <w:pStyle w:val="Heading1"/>
      </w:pPr>
      <w:r>
        <w:rPr>
          <w:rFonts w:ascii="Arial" w:hAnsi="Arial" w:cs="Arial"/>
        </w:rPr>
        <w:t>Results and Practical Application</w:t>
      </w:r>
    </w:p>
    <w:p>
      <w:pPr/>
      <w:r>
        <w:rPr>
          <w:rFonts w:ascii="Arial" w:hAnsi="Arial" w:cs="Arial"/>
        </w:rPr>
        <w:t>Table 1 gives the exact-match results. Piiranha has the highest F1 overall (0.876) and on both categories. Its overall interval does not overlap with that of any other model; on LOCATION it overlaps with GLiNER multi. It produces no false positive on the 163 conversations without these two categories. GLiNER multi has the highest recall (0.924) and 445 false positives. Of these, 350 are PERSON spans, mostly role words (</w:t>
      </w:r>
      <w:r>
        <w:rPr>
          <w:rFonts w:ascii="Arial" w:hAnsi="Arial" w:cs="Arial"/>
          <w:i/>
        </w:rPr>
        <w:t>referente</w:t>
      </w:r>
      <w:r>
        <w:rPr>
          <w:rFonts w:ascii="Arial" w:hAnsi="Arial" w:cs="Arial"/>
        </w:rPr>
        <w:t xml:space="preserve"> 143 times, </w:t>
      </w:r>
      <w:r>
        <w:rPr>
          <w:rFonts w:ascii="Arial" w:hAnsi="Arial" w:cs="Arial"/>
          <w:i/>
        </w:rPr>
        <w:t>precedente referente</w:t>
      </w:r>
      <w:r>
        <w:rPr>
          <w:rFonts w:ascii="Arial" w:hAnsi="Arial" w:cs="Arial"/>
        </w:rPr>
        <w:t xml:space="preserve"> 36 times). The model confuses a person with a role. The count is inflated by repeated templates in the synthetic data and is not a prevalence in real traffic.</w:t>
      </w:r>
    </w:p>
    <w:p>
      <w:pPr>
        <w:pStyle w:val="Caption"/>
        <w:keepNext/>
      </w:pPr>
      <w:r>
        <w:rPr>
          <w:rFonts w:ascii="Arial" w:hAnsi="Arial" w:cs="Arial"/>
        </w:rPr>
        <w:t>Table 1. Exact-match results on 289 conversations; 95% bootstrap intervals in brackets.</w:t>
      </w:r>
    </w:p>
    <w:tbl>
      <w:tblPr>
        <w:tblW w:type="auto" w:w="0"/>
        <w:jc w:val="center"/>
        <w:tblBorders>
          <w:top w:val="single" w:sz="8" w:space="0" w:color="000000"/>
          <w:bottom w:val="single" w:sz="8" w:space="0" w:color="000000"/>
          <w:insideH w:val="single" w:sz="2" w:space="0" w:color="000000"/>
          <w:left w:val="nil"/>
          <w:right w:val="nil"/>
          <w:insideV w:val="nil"/>
        </w:tblBorders>
        <w:tblLayout w:type="fixed"/>
        <w:tblLook w:firstColumn="1" w:firstRow="1" w:lastColumn="0" w:lastRow="0" w:noHBand="0" w:noVBand="1" w:val="04A0"/>
      </w:tblPr>
      <w:tblGrid>
        <w:gridCol w:w="1360"/>
        <w:gridCol w:w="1077"/>
        <w:gridCol w:w="793"/>
        <w:gridCol w:w="1814"/>
        <w:gridCol w:w="1814"/>
        <w:gridCol w:w="1757"/>
      </w:tblGrid>
      <w:tr>
        <w:trPr>
          <w:cantSplit/>
        </w:trPr>
        <w:tc>
          <w:tcPr>
            <w:tcW w:type="dxa" w:w="1361"/>
          </w:tcPr>
          <w:p>
            <w:pPr>
              <w:keepNext/>
              <w:spacing w:after="0" w:before="0"/>
              <w:jc w:val="left"/>
            </w:pPr>
            <w:r/>
            <w:r>
              <w:rPr>
                <w:rFonts w:ascii="Arial" w:hAnsi="Arial" w:cs="Arial"/>
                <w:b/>
                <w:sz w:val="16"/>
              </w:rPr>
              <w:t>Model</w:t>
            </w:r>
          </w:p>
        </w:tc>
        <w:tc>
          <w:tcPr>
            <w:tcW w:type="dxa" w:w="1077"/>
          </w:tcPr>
          <w:p>
            <w:pPr>
              <w:keepNext/>
              <w:spacing w:after="0" w:before="0"/>
              <w:jc w:val="center"/>
            </w:pPr>
            <w:r/>
            <w:r>
              <w:rPr>
                <w:rFonts w:ascii="Arial" w:hAnsi="Arial" w:cs="Arial"/>
                <w:b/>
                <w:sz w:val="16"/>
              </w:rPr>
              <w:t>Precision</w:t>
            </w:r>
          </w:p>
        </w:tc>
        <w:tc>
          <w:tcPr>
            <w:tcW w:type="dxa" w:w="794"/>
          </w:tcPr>
          <w:p>
            <w:pPr>
              <w:keepNext/>
              <w:spacing w:after="0" w:before="0"/>
              <w:jc w:val="center"/>
            </w:pPr>
            <w:r/>
            <w:r>
              <w:rPr>
                <w:rFonts w:ascii="Arial" w:hAnsi="Arial" w:cs="Arial"/>
                <w:b/>
                <w:sz w:val="16"/>
              </w:rPr>
              <w:t>Recall</w:t>
            </w:r>
          </w:p>
        </w:tc>
        <w:tc>
          <w:tcPr>
            <w:tcW w:type="dxa" w:w="1814"/>
          </w:tcPr>
          <w:p>
            <w:pPr>
              <w:keepNext/>
              <w:spacing w:after="0" w:before="0"/>
              <w:jc w:val="center"/>
            </w:pPr>
            <w:r/>
            <w:r>
              <w:rPr>
                <w:rFonts w:ascii="Arial" w:hAnsi="Arial" w:cs="Arial"/>
                <w:b/>
                <w:sz w:val="16"/>
              </w:rPr>
              <w:t>F1</w:t>
            </w:r>
          </w:p>
        </w:tc>
        <w:tc>
          <w:tcPr>
            <w:tcW w:type="dxa" w:w="1814"/>
          </w:tcPr>
          <w:p>
            <w:pPr>
              <w:keepNext/>
              <w:spacing w:after="0" w:before="0"/>
              <w:jc w:val="center"/>
            </w:pPr>
            <w:r/>
            <w:r>
              <w:rPr>
                <w:rFonts w:ascii="Arial" w:hAnsi="Arial" w:cs="Arial"/>
                <w:b/>
                <w:sz w:val="16"/>
              </w:rPr>
              <w:t>PERSON F1</w:t>
            </w:r>
          </w:p>
        </w:tc>
        <w:tc>
          <w:tcPr>
            <w:tcW w:type="dxa" w:w="1757"/>
          </w:tcPr>
          <w:p>
            <w:pPr>
              <w:keepNext/>
              <w:spacing w:after="0" w:before="0"/>
              <w:jc w:val="center"/>
            </w:pPr>
            <w:r/>
            <w:r>
              <w:rPr>
                <w:rFonts w:ascii="Arial" w:hAnsi="Arial" w:cs="Arial"/>
                <w:b/>
                <w:sz w:val="16"/>
              </w:rPr>
              <w:t>LOCATION F1</w:t>
            </w:r>
          </w:p>
        </w:tc>
      </w:tr>
      <w:tr>
        <w:trPr>
          <w:cantSplit/>
        </w:trPr>
        <w:tc>
          <w:tcPr>
            <w:tcW w:type="dxa" w:w="1361"/>
          </w:tcPr>
          <w:p>
            <w:pPr>
              <w:keepNext/>
              <w:spacing w:after="0" w:before="0"/>
              <w:jc w:val="left"/>
            </w:pPr>
            <w:r/>
            <w:r>
              <w:rPr>
                <w:rFonts w:ascii="Arial" w:hAnsi="Arial" w:cs="Arial"/>
                <w:b w:val="0"/>
                <w:sz w:val="16"/>
              </w:rPr>
              <w:t>GLiNER multi</w:t>
            </w:r>
          </w:p>
        </w:tc>
        <w:tc>
          <w:tcPr>
            <w:tcW w:type="dxa" w:w="1077"/>
          </w:tcPr>
          <w:p>
            <w:pPr>
              <w:keepNext/>
              <w:spacing w:after="0" w:before="0"/>
              <w:jc w:val="center"/>
            </w:pPr>
            <w:r/>
            <w:r>
              <w:rPr>
                <w:rFonts w:ascii="Arial" w:hAnsi="Arial" w:cs="Arial"/>
                <w:b w:val="0"/>
                <w:sz w:val="16"/>
              </w:rPr>
              <w:t>0.465</w:t>
            </w:r>
          </w:p>
        </w:tc>
        <w:tc>
          <w:tcPr>
            <w:tcW w:type="dxa" w:w="794"/>
          </w:tcPr>
          <w:p>
            <w:pPr>
              <w:keepNext/>
              <w:spacing w:after="0" w:before="0"/>
              <w:jc w:val="center"/>
            </w:pPr>
            <w:r/>
            <w:r>
              <w:rPr>
                <w:rFonts w:ascii="Arial" w:hAnsi="Arial" w:cs="Arial"/>
                <w:b w:val="0"/>
                <w:sz w:val="16"/>
              </w:rPr>
              <w:t>0.924</w:t>
            </w:r>
          </w:p>
        </w:tc>
        <w:tc>
          <w:tcPr>
            <w:tcW w:type="dxa" w:w="1814"/>
          </w:tcPr>
          <w:p>
            <w:pPr>
              <w:keepNext/>
              <w:spacing w:after="0" w:before="0"/>
              <w:jc w:val="center"/>
            </w:pPr>
            <w:r/>
            <w:r>
              <w:rPr>
                <w:rFonts w:ascii="Arial" w:hAnsi="Arial" w:cs="Arial"/>
                <w:b w:val="0"/>
                <w:sz w:val="16"/>
              </w:rPr>
              <w:t>0.619 (0.559–0.675)</w:t>
            </w:r>
          </w:p>
        </w:tc>
        <w:tc>
          <w:tcPr>
            <w:tcW w:type="dxa" w:w="1814"/>
          </w:tcPr>
          <w:p>
            <w:pPr>
              <w:keepNext/>
              <w:spacing w:after="0" w:before="0"/>
              <w:jc w:val="center"/>
            </w:pPr>
            <w:r/>
            <w:r>
              <w:rPr>
                <w:rFonts w:ascii="Arial" w:hAnsi="Arial" w:cs="Arial"/>
                <w:b w:val="0"/>
                <w:sz w:val="16"/>
              </w:rPr>
              <w:t>0.397 (0.328–0.465)</w:t>
            </w:r>
          </w:p>
        </w:tc>
        <w:tc>
          <w:tcPr>
            <w:tcW w:type="dxa" w:w="1757"/>
          </w:tcPr>
          <w:p>
            <w:pPr>
              <w:keepNext/>
              <w:spacing w:after="0" w:before="0"/>
              <w:jc w:val="center"/>
            </w:pPr>
            <w:r/>
            <w:r>
              <w:rPr>
                <w:rFonts w:ascii="Arial" w:hAnsi="Arial" w:cs="Arial"/>
                <w:b w:val="0"/>
                <w:sz w:val="16"/>
              </w:rPr>
              <w:t>0.817 (0.763–0.865)</w:t>
            </w:r>
          </w:p>
        </w:tc>
      </w:tr>
      <w:tr>
        <w:trPr>
          <w:cantSplit/>
        </w:trPr>
        <w:tc>
          <w:tcPr>
            <w:tcW w:type="dxa" w:w="1361"/>
          </w:tcPr>
          <w:p>
            <w:pPr>
              <w:keepNext/>
              <w:spacing w:after="0" w:before="0"/>
              <w:jc w:val="left"/>
            </w:pPr>
            <w:r/>
            <w:r>
              <w:rPr>
                <w:rFonts w:ascii="Arial" w:hAnsi="Arial" w:cs="Arial"/>
                <w:b w:val="0"/>
                <w:sz w:val="16"/>
              </w:rPr>
              <w:t>GLiNER PII</w:t>
            </w:r>
          </w:p>
        </w:tc>
        <w:tc>
          <w:tcPr>
            <w:tcW w:type="dxa" w:w="1077"/>
          </w:tcPr>
          <w:p>
            <w:pPr>
              <w:keepNext/>
              <w:spacing w:after="0" w:before="0"/>
              <w:jc w:val="center"/>
            </w:pPr>
            <w:r/>
            <w:r>
              <w:rPr>
                <w:rFonts w:ascii="Arial" w:hAnsi="Arial" w:cs="Arial"/>
                <w:b w:val="0"/>
                <w:sz w:val="16"/>
              </w:rPr>
              <w:t>0.198</w:t>
            </w:r>
          </w:p>
        </w:tc>
        <w:tc>
          <w:tcPr>
            <w:tcW w:type="dxa" w:w="794"/>
          </w:tcPr>
          <w:p>
            <w:pPr>
              <w:keepNext/>
              <w:spacing w:after="0" w:before="0"/>
              <w:jc w:val="center"/>
            </w:pPr>
            <w:r/>
            <w:r>
              <w:rPr>
                <w:rFonts w:ascii="Arial" w:hAnsi="Arial" w:cs="Arial"/>
                <w:b w:val="0"/>
                <w:sz w:val="16"/>
              </w:rPr>
              <w:t>0.465</w:t>
            </w:r>
          </w:p>
        </w:tc>
        <w:tc>
          <w:tcPr>
            <w:tcW w:type="dxa" w:w="1814"/>
          </w:tcPr>
          <w:p>
            <w:pPr>
              <w:keepNext/>
              <w:spacing w:after="0" w:before="0"/>
              <w:jc w:val="center"/>
            </w:pPr>
            <w:r/>
            <w:r>
              <w:rPr>
                <w:rFonts w:ascii="Arial" w:hAnsi="Arial" w:cs="Arial"/>
                <w:b w:val="0"/>
                <w:sz w:val="16"/>
              </w:rPr>
              <w:t>0.278 (0.235–0.318)</w:t>
            </w:r>
          </w:p>
        </w:tc>
        <w:tc>
          <w:tcPr>
            <w:tcW w:type="dxa" w:w="1814"/>
          </w:tcPr>
          <w:p>
            <w:pPr>
              <w:keepNext/>
              <w:spacing w:after="0" w:before="0"/>
              <w:jc w:val="center"/>
            </w:pPr>
            <w:r/>
            <w:r>
              <w:rPr>
                <w:rFonts w:ascii="Arial" w:hAnsi="Arial" w:cs="Arial"/>
                <w:b w:val="0"/>
                <w:sz w:val="16"/>
              </w:rPr>
              <w:t>0.342 (0.280–0.404)</w:t>
            </w:r>
          </w:p>
        </w:tc>
        <w:tc>
          <w:tcPr>
            <w:tcW w:type="dxa" w:w="1757"/>
          </w:tcPr>
          <w:p>
            <w:pPr>
              <w:keepNext/>
              <w:spacing w:after="0" w:before="0"/>
              <w:jc w:val="center"/>
            </w:pPr>
            <w:r/>
            <w:r>
              <w:rPr>
                <w:rFonts w:ascii="Arial" w:hAnsi="Arial" w:cs="Arial"/>
                <w:b w:val="0"/>
                <w:sz w:val="16"/>
              </w:rPr>
              <w:t>0.213 (0.149–0.281)</w:t>
            </w:r>
          </w:p>
        </w:tc>
      </w:tr>
      <w:tr>
        <w:trPr>
          <w:cantSplit/>
        </w:trPr>
        <w:tc>
          <w:tcPr>
            <w:tcW w:type="dxa" w:w="1361"/>
          </w:tcPr>
          <w:p>
            <w:pPr>
              <w:keepNext/>
              <w:spacing w:after="0" w:before="0"/>
              <w:jc w:val="left"/>
            </w:pPr>
            <w:r/>
            <w:r>
              <w:rPr>
                <w:rFonts w:ascii="Arial" w:hAnsi="Arial" w:cs="Arial"/>
                <w:b w:val="0"/>
                <w:sz w:val="16"/>
              </w:rPr>
              <w:t>WikiNEuRal</w:t>
            </w:r>
          </w:p>
        </w:tc>
        <w:tc>
          <w:tcPr>
            <w:tcW w:type="dxa" w:w="1077"/>
          </w:tcPr>
          <w:p>
            <w:pPr>
              <w:keepNext/>
              <w:spacing w:after="0" w:before="0"/>
              <w:jc w:val="center"/>
            </w:pPr>
            <w:r/>
            <w:r>
              <w:rPr>
                <w:rFonts w:ascii="Arial" w:hAnsi="Arial" w:cs="Arial"/>
                <w:b w:val="0"/>
                <w:sz w:val="16"/>
              </w:rPr>
              <w:t>0.633</w:t>
            </w:r>
          </w:p>
        </w:tc>
        <w:tc>
          <w:tcPr>
            <w:tcW w:type="dxa" w:w="794"/>
          </w:tcPr>
          <w:p>
            <w:pPr>
              <w:keepNext/>
              <w:spacing w:after="0" w:before="0"/>
              <w:jc w:val="center"/>
            </w:pPr>
            <w:r/>
            <w:r>
              <w:rPr>
                <w:rFonts w:ascii="Arial" w:hAnsi="Arial" w:cs="Arial"/>
                <w:b w:val="0"/>
                <w:sz w:val="16"/>
              </w:rPr>
              <w:t>0.666</w:t>
            </w:r>
          </w:p>
        </w:tc>
        <w:tc>
          <w:tcPr>
            <w:tcW w:type="dxa" w:w="1814"/>
          </w:tcPr>
          <w:p>
            <w:pPr>
              <w:keepNext/>
              <w:spacing w:after="0" w:before="0"/>
              <w:jc w:val="center"/>
            </w:pPr>
            <w:r/>
            <w:r>
              <w:rPr>
                <w:rFonts w:ascii="Arial" w:hAnsi="Arial" w:cs="Arial"/>
                <w:b w:val="0"/>
                <w:sz w:val="16"/>
              </w:rPr>
              <w:t>0.649 (0.600–0.698)</w:t>
            </w:r>
          </w:p>
        </w:tc>
        <w:tc>
          <w:tcPr>
            <w:tcW w:type="dxa" w:w="1814"/>
          </w:tcPr>
          <w:p>
            <w:pPr>
              <w:keepNext/>
              <w:spacing w:after="0" w:before="0"/>
              <w:jc w:val="center"/>
            </w:pPr>
            <w:r/>
            <w:r>
              <w:rPr>
                <w:rFonts w:ascii="Arial" w:hAnsi="Arial" w:cs="Arial"/>
                <w:b w:val="0"/>
                <w:sz w:val="16"/>
              </w:rPr>
              <w:t>0.763 (0.686–0.832)</w:t>
            </w:r>
          </w:p>
        </w:tc>
        <w:tc>
          <w:tcPr>
            <w:tcW w:type="dxa" w:w="1757"/>
          </w:tcPr>
          <w:p>
            <w:pPr>
              <w:keepNext/>
              <w:spacing w:after="0" w:before="0"/>
              <w:jc w:val="center"/>
            </w:pPr>
            <w:r/>
            <w:r>
              <w:rPr>
                <w:rFonts w:ascii="Arial" w:hAnsi="Arial" w:cs="Arial"/>
                <w:b w:val="0"/>
                <w:sz w:val="16"/>
              </w:rPr>
              <w:t>0.599 (0.539–0.661)</w:t>
            </w:r>
          </w:p>
        </w:tc>
      </w:tr>
      <w:tr>
        <w:trPr>
          <w:cantSplit/>
        </w:trPr>
        <w:tc>
          <w:tcPr>
            <w:tcW w:type="dxa" w:w="1361"/>
          </w:tcPr>
          <w:p>
            <w:pPr>
              <w:spacing w:after="0" w:before="0"/>
              <w:jc w:val="left"/>
            </w:pPr>
            <w:r/>
            <w:r>
              <w:rPr>
                <w:rFonts w:ascii="Arial" w:hAnsi="Arial" w:cs="Arial"/>
                <w:b w:val="0"/>
                <w:sz w:val="16"/>
              </w:rPr>
              <w:t>Piiranha</w:t>
            </w:r>
          </w:p>
        </w:tc>
        <w:tc>
          <w:tcPr>
            <w:tcW w:type="dxa" w:w="1077"/>
          </w:tcPr>
          <w:p>
            <w:pPr>
              <w:spacing w:after="0" w:before="0"/>
              <w:jc w:val="center"/>
            </w:pPr>
            <w:r/>
            <w:r>
              <w:rPr>
                <w:rFonts w:ascii="Arial" w:hAnsi="Arial" w:cs="Arial"/>
                <w:b w:val="0"/>
                <w:sz w:val="16"/>
              </w:rPr>
              <w:t>0.865</w:t>
            </w:r>
          </w:p>
        </w:tc>
        <w:tc>
          <w:tcPr>
            <w:tcW w:type="dxa" w:w="794"/>
          </w:tcPr>
          <w:p>
            <w:pPr>
              <w:spacing w:after="0" w:before="0"/>
              <w:jc w:val="center"/>
            </w:pPr>
            <w:r/>
            <w:r>
              <w:rPr>
                <w:rFonts w:ascii="Arial" w:hAnsi="Arial" w:cs="Arial"/>
                <w:b w:val="0"/>
                <w:sz w:val="16"/>
              </w:rPr>
              <w:t>0.888</w:t>
            </w:r>
          </w:p>
        </w:tc>
        <w:tc>
          <w:tcPr>
            <w:tcW w:type="dxa" w:w="1814"/>
          </w:tcPr>
          <w:p>
            <w:pPr>
              <w:spacing w:after="0" w:before="0"/>
              <w:jc w:val="center"/>
            </w:pPr>
            <w:r/>
            <w:r>
              <w:rPr>
                <w:rFonts w:ascii="Arial" w:hAnsi="Arial" w:cs="Arial"/>
                <w:b/>
                <w:sz w:val="16"/>
              </w:rPr>
              <w:t>0.876 (0.833–0.919)</w:t>
            </w:r>
          </w:p>
        </w:tc>
        <w:tc>
          <w:tcPr>
            <w:tcW w:type="dxa" w:w="1814"/>
          </w:tcPr>
          <w:p>
            <w:pPr>
              <w:spacing w:after="0" w:before="0"/>
              <w:jc w:val="center"/>
            </w:pPr>
            <w:r/>
            <w:r>
              <w:rPr>
                <w:rFonts w:ascii="Arial" w:hAnsi="Arial" w:cs="Arial"/>
                <w:b/>
                <w:sz w:val="16"/>
              </w:rPr>
              <w:t>0.911 (0.857–0.960)</w:t>
            </w:r>
          </w:p>
        </w:tc>
        <w:tc>
          <w:tcPr>
            <w:tcW w:type="dxa" w:w="1757"/>
          </w:tcPr>
          <w:p>
            <w:pPr>
              <w:spacing w:after="0" w:before="0"/>
              <w:jc w:val="center"/>
            </w:pPr>
            <w:r/>
            <w:r>
              <w:rPr>
                <w:rFonts w:ascii="Arial" w:hAnsi="Arial" w:cs="Arial"/>
                <w:b/>
                <w:sz w:val="16"/>
              </w:rPr>
              <w:t>0.862 (0.807–0.916)</w:t>
            </w:r>
          </w:p>
        </w:tc>
      </w:tr>
    </w:tbl>
    <w:p>
      <w:pPr>
        <w:spacing w:after="40" w:line="80" w:lineRule="exact"/>
      </w:pPr>
    </w:p>
    <w:p>
      <w:pPr/>
      <w:r>
        <w:rPr>
          <w:rFonts w:ascii="Arial" w:hAnsi="Arial" w:cs="Arial"/>
        </w:rPr>
        <w:t>Table 2 shows address coverage, and the ranking changes. GLiNER PII covers 122 of 124 addresses completely and GLiNER multi 120; the difference between them is within the intervals. Piiranha covers 92 and misses all 17 internals. WikiNEuRal covers 16: it finds street and municipality but leaves the house number visible (4 of 110 complete).</w:t>
      </w:r>
    </w:p>
    <w:p>
      <w:pPr>
        <w:pStyle w:val="Caption"/>
        <w:keepNext/>
      </w:pPr>
      <w:r>
        <w:rPr>
          <w:rFonts w:ascii="Arial" w:hAnsi="Arial" w:cs="Arial"/>
        </w:rPr>
        <w:t>Table 2. Address coverage on 124 occurrences. Components are counted when fully covered.</w:t>
      </w:r>
    </w:p>
    <w:tbl>
      <w:tblPr>
        <w:tblW w:type="auto" w:w="0"/>
        <w:jc w:val="center"/>
        <w:tblBorders>
          <w:top w:val="single" w:sz="8" w:space="0" w:color="000000"/>
          <w:bottom w:val="single" w:sz="8" w:space="0" w:color="000000"/>
          <w:insideH w:val="single" w:sz="2" w:space="0" w:color="000000"/>
          <w:left w:val="nil"/>
          <w:right w:val="nil"/>
          <w:insideV w:val="nil"/>
        </w:tblBorders>
        <w:tblLayout w:type="fixed"/>
        <w:tblLook w:firstColumn="1" w:firstRow="1" w:lastColumn="0" w:lastRow="0" w:noHBand="0" w:noVBand="1" w:val="04A0"/>
      </w:tblPr>
      <w:tblGrid>
        <w:gridCol w:w="1190"/>
        <w:gridCol w:w="1077"/>
        <w:gridCol w:w="1871"/>
        <w:gridCol w:w="1020"/>
        <w:gridCol w:w="850"/>
        <w:gridCol w:w="907"/>
        <w:gridCol w:w="850"/>
        <w:gridCol w:w="850"/>
      </w:tblGrid>
      <w:tr>
        <w:trPr>
          <w:cantSplit/>
        </w:trPr>
        <w:tc>
          <w:tcPr>
            <w:tcW w:type="dxa" w:w="1191"/>
          </w:tcPr>
          <w:p>
            <w:pPr>
              <w:keepNext/>
              <w:spacing w:after="0" w:before="0"/>
              <w:jc w:val="left"/>
            </w:pPr>
            <w:r/>
            <w:r>
              <w:rPr>
                <w:rFonts w:ascii="Arial" w:hAnsi="Arial" w:cs="Arial"/>
                <w:b/>
                <w:sz w:val="16"/>
              </w:rPr>
              <w:t>Model</w:t>
            </w:r>
          </w:p>
        </w:tc>
        <w:tc>
          <w:tcPr>
            <w:tcW w:type="dxa" w:w="1077"/>
          </w:tcPr>
          <w:p>
            <w:pPr>
              <w:keepNext/>
              <w:spacing w:after="0" w:before="0"/>
              <w:jc w:val="center"/>
            </w:pPr>
            <w:r/>
            <w:r>
              <w:rPr>
                <w:rFonts w:ascii="Arial" w:hAnsi="Arial" w:cs="Arial"/>
                <w:b/>
                <w:sz w:val="16"/>
              </w:rPr>
              <w:t>Complete</w:t>
            </w:r>
          </w:p>
        </w:tc>
        <w:tc>
          <w:tcPr>
            <w:tcW w:type="dxa" w:w="1871"/>
          </w:tcPr>
          <w:p>
            <w:pPr>
              <w:keepNext/>
              <w:spacing w:after="0" w:before="0"/>
              <w:jc w:val="center"/>
            </w:pPr>
            <w:r/>
            <w:r>
              <w:rPr>
                <w:rFonts w:ascii="Arial" w:hAnsi="Arial" w:cs="Arial"/>
                <w:b/>
                <w:sz w:val="16"/>
              </w:rPr>
              <w:t>Rate (95% CI)</w:t>
            </w:r>
          </w:p>
        </w:tc>
        <w:tc>
          <w:tcPr>
            <w:tcW w:type="dxa" w:w="1020"/>
          </w:tcPr>
          <w:p>
            <w:pPr>
              <w:keepNext/>
              <w:spacing w:after="0" w:before="0"/>
              <w:jc w:val="center"/>
            </w:pPr>
            <w:r/>
            <w:r>
              <w:rPr>
                <w:rFonts w:ascii="Arial" w:hAnsi="Arial" w:cs="Arial"/>
                <w:b/>
                <w:sz w:val="16"/>
              </w:rPr>
              <w:t>Coverage</w:t>
            </w:r>
          </w:p>
        </w:tc>
        <w:tc>
          <w:tcPr>
            <w:tcW w:type="dxa" w:w="850"/>
          </w:tcPr>
          <w:p>
            <w:pPr>
              <w:keepNext/>
              <w:spacing w:after="0" w:before="0"/>
              <w:jc w:val="center"/>
            </w:pPr>
            <w:r/>
            <w:r>
              <w:rPr>
                <w:rFonts w:ascii="Arial" w:hAnsi="Arial" w:cs="Arial"/>
                <w:b/>
                <w:sz w:val="16"/>
              </w:rPr>
              <w:t>Street</w:t>
            </w:r>
          </w:p>
        </w:tc>
        <w:tc>
          <w:tcPr>
            <w:tcW w:type="dxa" w:w="907"/>
          </w:tcPr>
          <w:p>
            <w:pPr>
              <w:keepNext/>
              <w:spacing w:after="0" w:before="0"/>
              <w:jc w:val="center"/>
            </w:pPr>
            <w:r/>
            <w:r>
              <w:rPr>
                <w:rFonts w:ascii="Arial" w:hAnsi="Arial" w:cs="Arial"/>
                <w:b/>
                <w:sz w:val="16"/>
              </w:rPr>
              <w:t>Number</w:t>
            </w:r>
          </w:p>
        </w:tc>
        <w:tc>
          <w:tcPr>
            <w:tcW w:type="dxa" w:w="850"/>
          </w:tcPr>
          <w:p>
            <w:pPr>
              <w:keepNext/>
              <w:spacing w:after="0" w:before="0"/>
              <w:jc w:val="center"/>
            </w:pPr>
            <w:r/>
            <w:r>
              <w:rPr>
                <w:rFonts w:ascii="Arial" w:hAnsi="Arial" w:cs="Arial"/>
                <w:b/>
                <w:sz w:val="16"/>
              </w:rPr>
              <w:t>Internal</w:t>
            </w:r>
          </w:p>
        </w:tc>
        <w:tc>
          <w:tcPr>
            <w:tcW w:type="dxa" w:w="850"/>
          </w:tcPr>
          <w:p>
            <w:pPr>
              <w:keepNext/>
              <w:spacing w:after="0" w:before="0"/>
              <w:jc w:val="center"/>
            </w:pPr>
            <w:r/>
            <w:r>
              <w:rPr>
                <w:rFonts w:ascii="Arial" w:hAnsi="Arial" w:cs="Arial"/>
                <w:b/>
                <w:sz w:val="16"/>
              </w:rPr>
              <w:t>Munic.</w:t>
            </w:r>
          </w:p>
        </w:tc>
      </w:tr>
      <w:tr>
        <w:trPr>
          <w:cantSplit/>
        </w:trPr>
        <w:tc>
          <w:tcPr>
            <w:tcW w:type="dxa" w:w="1191"/>
          </w:tcPr>
          <w:p>
            <w:pPr>
              <w:keepNext/>
              <w:spacing w:after="0" w:before="0"/>
              <w:jc w:val="left"/>
            </w:pPr>
            <w:r/>
            <w:r>
              <w:rPr>
                <w:rFonts w:ascii="Arial" w:hAnsi="Arial" w:cs="Arial"/>
                <w:b w:val="0"/>
                <w:sz w:val="16"/>
              </w:rPr>
              <w:t>GLiNER multi</w:t>
            </w:r>
          </w:p>
        </w:tc>
        <w:tc>
          <w:tcPr>
            <w:tcW w:type="dxa" w:w="1077"/>
          </w:tcPr>
          <w:p>
            <w:pPr>
              <w:keepNext/>
              <w:spacing w:after="0" w:before="0"/>
              <w:jc w:val="center"/>
            </w:pPr>
            <w:r/>
            <w:r>
              <w:rPr>
                <w:rFonts w:ascii="Arial" w:hAnsi="Arial" w:cs="Arial"/>
                <w:b w:val="0"/>
                <w:sz w:val="16"/>
              </w:rPr>
              <w:t>120</w:t>
            </w:r>
          </w:p>
        </w:tc>
        <w:tc>
          <w:tcPr>
            <w:tcW w:type="dxa" w:w="1871"/>
          </w:tcPr>
          <w:p>
            <w:pPr>
              <w:keepNext/>
              <w:spacing w:after="0" w:before="0"/>
              <w:jc w:val="center"/>
            </w:pPr>
            <w:r/>
            <w:r>
              <w:rPr>
                <w:rFonts w:ascii="Arial" w:hAnsi="Arial" w:cs="Arial"/>
                <w:b w:val="0"/>
                <w:sz w:val="16"/>
              </w:rPr>
              <w:t>0.968 (0.928–1.000)</w:t>
            </w:r>
          </w:p>
        </w:tc>
        <w:tc>
          <w:tcPr>
            <w:tcW w:type="dxa" w:w="1020"/>
          </w:tcPr>
          <w:p>
            <w:pPr>
              <w:keepNext/>
              <w:spacing w:after="0" w:before="0"/>
              <w:jc w:val="center"/>
            </w:pPr>
            <w:r/>
            <w:r>
              <w:rPr>
                <w:rFonts w:ascii="Arial" w:hAnsi="Arial" w:cs="Arial"/>
                <w:b w:val="0"/>
                <w:sz w:val="16"/>
              </w:rPr>
              <w:t>0.983</w:t>
            </w:r>
          </w:p>
        </w:tc>
        <w:tc>
          <w:tcPr>
            <w:tcW w:type="dxa" w:w="850"/>
          </w:tcPr>
          <w:p>
            <w:pPr>
              <w:keepNext/>
              <w:spacing w:after="0" w:before="0"/>
              <w:jc w:val="center"/>
            </w:pPr>
            <w:r/>
            <w:r>
              <w:rPr>
                <w:rFonts w:ascii="Arial" w:hAnsi="Arial" w:cs="Arial"/>
                <w:b w:val="0"/>
                <w:sz w:val="16"/>
              </w:rPr>
              <w:t>121/124</w:t>
            </w:r>
          </w:p>
        </w:tc>
        <w:tc>
          <w:tcPr>
            <w:tcW w:type="dxa" w:w="907"/>
          </w:tcPr>
          <w:p>
            <w:pPr>
              <w:keepNext/>
              <w:spacing w:after="0" w:before="0"/>
              <w:jc w:val="center"/>
            </w:pPr>
            <w:r/>
            <w:r>
              <w:rPr>
                <w:rFonts w:ascii="Arial" w:hAnsi="Arial" w:cs="Arial"/>
                <w:b w:val="0"/>
                <w:sz w:val="16"/>
              </w:rPr>
              <w:t>107/110</w:t>
            </w:r>
          </w:p>
        </w:tc>
        <w:tc>
          <w:tcPr>
            <w:tcW w:type="dxa" w:w="850"/>
          </w:tcPr>
          <w:p>
            <w:pPr>
              <w:keepNext/>
              <w:spacing w:after="0" w:before="0"/>
              <w:jc w:val="center"/>
            </w:pPr>
            <w:r/>
            <w:r>
              <w:rPr>
                <w:rFonts w:ascii="Arial" w:hAnsi="Arial" w:cs="Arial"/>
                <w:b w:val="0"/>
                <w:sz w:val="16"/>
              </w:rPr>
              <w:t>17/17</w:t>
            </w:r>
          </w:p>
        </w:tc>
        <w:tc>
          <w:tcPr>
            <w:tcW w:type="dxa" w:w="850"/>
          </w:tcPr>
          <w:p>
            <w:pPr>
              <w:keepNext/>
              <w:spacing w:after="0" w:before="0"/>
              <w:jc w:val="center"/>
            </w:pPr>
            <w:r/>
            <w:r>
              <w:rPr>
                <w:rFonts w:ascii="Arial" w:hAnsi="Arial" w:cs="Arial"/>
                <w:b w:val="0"/>
                <w:sz w:val="16"/>
              </w:rPr>
              <w:t>105/105</w:t>
            </w:r>
          </w:p>
        </w:tc>
      </w:tr>
      <w:tr>
        <w:trPr>
          <w:cantSplit/>
        </w:trPr>
        <w:tc>
          <w:tcPr>
            <w:tcW w:type="dxa" w:w="1191"/>
          </w:tcPr>
          <w:p>
            <w:pPr>
              <w:keepNext/>
              <w:spacing w:after="0" w:before="0"/>
              <w:jc w:val="left"/>
            </w:pPr>
            <w:r/>
            <w:r>
              <w:rPr>
                <w:rFonts w:ascii="Arial" w:hAnsi="Arial" w:cs="Arial"/>
                <w:b w:val="0"/>
                <w:sz w:val="16"/>
              </w:rPr>
              <w:t>GLiNER PII</w:t>
            </w:r>
          </w:p>
        </w:tc>
        <w:tc>
          <w:tcPr>
            <w:tcW w:type="dxa" w:w="1077"/>
          </w:tcPr>
          <w:p>
            <w:pPr>
              <w:keepNext/>
              <w:spacing w:after="0" w:before="0"/>
              <w:jc w:val="center"/>
            </w:pPr>
            <w:r/>
            <w:r>
              <w:rPr>
                <w:rFonts w:ascii="Arial" w:hAnsi="Arial" w:cs="Arial"/>
                <w:b/>
                <w:sz w:val="16"/>
              </w:rPr>
              <w:t>122</w:t>
            </w:r>
          </w:p>
        </w:tc>
        <w:tc>
          <w:tcPr>
            <w:tcW w:type="dxa" w:w="1871"/>
          </w:tcPr>
          <w:p>
            <w:pPr>
              <w:keepNext/>
              <w:spacing w:after="0" w:before="0"/>
              <w:jc w:val="center"/>
            </w:pPr>
            <w:r/>
            <w:r>
              <w:rPr>
                <w:rFonts w:ascii="Arial" w:hAnsi="Arial" w:cs="Arial"/>
                <w:b/>
                <w:sz w:val="16"/>
              </w:rPr>
              <w:t>0.984 (0.960–1.000)</w:t>
            </w:r>
          </w:p>
        </w:tc>
        <w:tc>
          <w:tcPr>
            <w:tcW w:type="dxa" w:w="1020"/>
          </w:tcPr>
          <w:p>
            <w:pPr>
              <w:keepNext/>
              <w:spacing w:after="0" w:before="0"/>
              <w:jc w:val="center"/>
            </w:pPr>
            <w:r/>
            <w:r>
              <w:rPr>
                <w:rFonts w:ascii="Arial" w:hAnsi="Arial" w:cs="Arial"/>
                <w:b/>
                <w:sz w:val="16"/>
              </w:rPr>
              <w:t>0.986</w:t>
            </w:r>
          </w:p>
        </w:tc>
        <w:tc>
          <w:tcPr>
            <w:tcW w:type="dxa" w:w="850"/>
          </w:tcPr>
          <w:p>
            <w:pPr>
              <w:keepNext/>
              <w:spacing w:after="0" w:before="0"/>
              <w:jc w:val="center"/>
            </w:pPr>
            <w:r/>
            <w:r>
              <w:rPr>
                <w:rFonts w:ascii="Arial" w:hAnsi="Arial" w:cs="Arial"/>
                <w:b w:val="0"/>
                <w:sz w:val="16"/>
              </w:rPr>
              <w:t>122/124</w:t>
            </w:r>
          </w:p>
        </w:tc>
        <w:tc>
          <w:tcPr>
            <w:tcW w:type="dxa" w:w="907"/>
          </w:tcPr>
          <w:p>
            <w:pPr>
              <w:keepNext/>
              <w:spacing w:after="0" w:before="0"/>
              <w:jc w:val="center"/>
            </w:pPr>
            <w:r/>
            <w:r>
              <w:rPr>
                <w:rFonts w:ascii="Arial" w:hAnsi="Arial" w:cs="Arial"/>
                <w:b w:val="0"/>
                <w:sz w:val="16"/>
              </w:rPr>
              <w:t>108/110</w:t>
            </w:r>
          </w:p>
        </w:tc>
        <w:tc>
          <w:tcPr>
            <w:tcW w:type="dxa" w:w="850"/>
          </w:tcPr>
          <w:p>
            <w:pPr>
              <w:keepNext/>
              <w:spacing w:after="0" w:before="0"/>
              <w:jc w:val="center"/>
            </w:pPr>
            <w:r/>
            <w:r>
              <w:rPr>
                <w:rFonts w:ascii="Arial" w:hAnsi="Arial" w:cs="Arial"/>
                <w:b w:val="0"/>
                <w:sz w:val="16"/>
              </w:rPr>
              <w:t>17/17</w:t>
            </w:r>
          </w:p>
        </w:tc>
        <w:tc>
          <w:tcPr>
            <w:tcW w:type="dxa" w:w="850"/>
          </w:tcPr>
          <w:p>
            <w:pPr>
              <w:keepNext/>
              <w:spacing w:after="0" w:before="0"/>
              <w:jc w:val="center"/>
            </w:pPr>
            <w:r/>
            <w:r>
              <w:rPr>
                <w:rFonts w:ascii="Arial" w:hAnsi="Arial" w:cs="Arial"/>
                <w:b w:val="0"/>
                <w:sz w:val="16"/>
              </w:rPr>
              <w:t>103/105</w:t>
            </w:r>
          </w:p>
        </w:tc>
      </w:tr>
      <w:tr>
        <w:trPr>
          <w:cantSplit/>
        </w:trPr>
        <w:tc>
          <w:tcPr>
            <w:tcW w:type="dxa" w:w="1191"/>
          </w:tcPr>
          <w:p>
            <w:pPr>
              <w:keepNext/>
              <w:spacing w:after="0" w:before="0"/>
              <w:jc w:val="left"/>
            </w:pPr>
            <w:r/>
            <w:r>
              <w:rPr>
                <w:rFonts w:ascii="Arial" w:hAnsi="Arial" w:cs="Arial"/>
                <w:b w:val="0"/>
                <w:sz w:val="16"/>
              </w:rPr>
              <w:t>WikiNEuRal</w:t>
            </w:r>
          </w:p>
        </w:tc>
        <w:tc>
          <w:tcPr>
            <w:tcW w:type="dxa" w:w="1077"/>
          </w:tcPr>
          <w:p>
            <w:pPr>
              <w:keepNext/>
              <w:spacing w:after="0" w:before="0"/>
              <w:jc w:val="center"/>
            </w:pPr>
            <w:r/>
            <w:r>
              <w:rPr>
                <w:rFonts w:ascii="Arial" w:hAnsi="Arial" w:cs="Arial"/>
                <w:b w:val="0"/>
                <w:sz w:val="16"/>
              </w:rPr>
              <w:t>16</w:t>
            </w:r>
          </w:p>
        </w:tc>
        <w:tc>
          <w:tcPr>
            <w:tcW w:type="dxa" w:w="1871"/>
          </w:tcPr>
          <w:p>
            <w:pPr>
              <w:keepNext/>
              <w:spacing w:after="0" w:before="0"/>
              <w:jc w:val="center"/>
            </w:pPr>
            <w:r/>
            <w:r>
              <w:rPr>
                <w:rFonts w:ascii="Arial" w:hAnsi="Arial" w:cs="Arial"/>
                <w:b w:val="0"/>
                <w:sz w:val="16"/>
              </w:rPr>
              <w:t>0.129 (0.056–0.222)</w:t>
            </w:r>
          </w:p>
        </w:tc>
        <w:tc>
          <w:tcPr>
            <w:tcW w:type="dxa" w:w="1020"/>
          </w:tcPr>
          <w:p>
            <w:pPr>
              <w:keepNext/>
              <w:spacing w:after="0" w:before="0"/>
              <w:jc w:val="center"/>
            </w:pPr>
            <w:r/>
            <w:r>
              <w:rPr>
                <w:rFonts w:ascii="Arial" w:hAnsi="Arial" w:cs="Arial"/>
                <w:b w:val="0"/>
                <w:sz w:val="16"/>
              </w:rPr>
              <w:t>0.792</w:t>
            </w:r>
          </w:p>
        </w:tc>
        <w:tc>
          <w:tcPr>
            <w:tcW w:type="dxa" w:w="850"/>
          </w:tcPr>
          <w:p>
            <w:pPr>
              <w:keepNext/>
              <w:spacing w:after="0" w:before="0"/>
              <w:jc w:val="center"/>
            </w:pPr>
            <w:r/>
            <w:r>
              <w:rPr>
                <w:rFonts w:ascii="Arial" w:hAnsi="Arial" w:cs="Arial"/>
                <w:b w:val="0"/>
                <w:sz w:val="16"/>
              </w:rPr>
              <w:t>111/124</w:t>
            </w:r>
          </w:p>
        </w:tc>
        <w:tc>
          <w:tcPr>
            <w:tcW w:type="dxa" w:w="907"/>
          </w:tcPr>
          <w:p>
            <w:pPr>
              <w:keepNext/>
              <w:spacing w:after="0" w:before="0"/>
              <w:jc w:val="center"/>
            </w:pPr>
            <w:r/>
            <w:r>
              <w:rPr>
                <w:rFonts w:ascii="Arial" w:hAnsi="Arial" w:cs="Arial"/>
                <w:b w:val="0"/>
                <w:sz w:val="16"/>
              </w:rPr>
              <w:t>4/110</w:t>
            </w:r>
          </w:p>
        </w:tc>
        <w:tc>
          <w:tcPr>
            <w:tcW w:type="dxa" w:w="850"/>
          </w:tcPr>
          <w:p>
            <w:pPr>
              <w:keepNext/>
              <w:spacing w:after="0" w:before="0"/>
              <w:jc w:val="center"/>
            </w:pPr>
            <w:r/>
            <w:r>
              <w:rPr>
                <w:rFonts w:ascii="Arial" w:hAnsi="Arial" w:cs="Arial"/>
                <w:b w:val="0"/>
                <w:sz w:val="16"/>
              </w:rPr>
              <w:t>0/17</w:t>
            </w:r>
          </w:p>
        </w:tc>
        <w:tc>
          <w:tcPr>
            <w:tcW w:type="dxa" w:w="850"/>
          </w:tcPr>
          <w:p>
            <w:pPr>
              <w:keepNext/>
              <w:spacing w:after="0" w:before="0"/>
              <w:jc w:val="center"/>
            </w:pPr>
            <w:r/>
            <w:r>
              <w:rPr>
                <w:rFonts w:ascii="Arial" w:hAnsi="Arial" w:cs="Arial"/>
                <w:b w:val="0"/>
                <w:sz w:val="16"/>
              </w:rPr>
              <w:t>98/105</w:t>
            </w:r>
          </w:p>
        </w:tc>
      </w:tr>
      <w:tr>
        <w:trPr>
          <w:cantSplit/>
        </w:trPr>
        <w:tc>
          <w:tcPr>
            <w:tcW w:type="dxa" w:w="1191"/>
          </w:tcPr>
          <w:p>
            <w:pPr>
              <w:spacing w:after="0" w:before="0"/>
              <w:jc w:val="left"/>
            </w:pPr>
            <w:r/>
            <w:r>
              <w:rPr>
                <w:rFonts w:ascii="Arial" w:hAnsi="Arial" w:cs="Arial"/>
                <w:b w:val="0"/>
                <w:sz w:val="16"/>
              </w:rPr>
              <w:t>Piiranha</w:t>
            </w:r>
          </w:p>
        </w:tc>
        <w:tc>
          <w:tcPr>
            <w:tcW w:type="dxa" w:w="1077"/>
          </w:tcPr>
          <w:p>
            <w:pPr>
              <w:spacing w:after="0" w:before="0"/>
              <w:jc w:val="center"/>
            </w:pPr>
            <w:r/>
            <w:r>
              <w:rPr>
                <w:rFonts w:ascii="Arial" w:hAnsi="Arial" w:cs="Arial"/>
                <w:b w:val="0"/>
                <w:sz w:val="16"/>
              </w:rPr>
              <w:t>92</w:t>
            </w:r>
          </w:p>
        </w:tc>
        <w:tc>
          <w:tcPr>
            <w:tcW w:type="dxa" w:w="1871"/>
          </w:tcPr>
          <w:p>
            <w:pPr>
              <w:spacing w:after="0" w:before="0"/>
              <w:jc w:val="center"/>
            </w:pPr>
            <w:r/>
            <w:r>
              <w:rPr>
                <w:rFonts w:ascii="Arial" w:hAnsi="Arial" w:cs="Arial"/>
                <w:b w:val="0"/>
                <w:sz w:val="16"/>
              </w:rPr>
              <w:t>0.742 (0.631–0.852)</w:t>
            </w:r>
          </w:p>
        </w:tc>
        <w:tc>
          <w:tcPr>
            <w:tcW w:type="dxa" w:w="1020"/>
          </w:tcPr>
          <w:p>
            <w:pPr>
              <w:spacing w:after="0" w:before="0"/>
              <w:jc w:val="center"/>
            </w:pPr>
            <w:r/>
            <w:r>
              <w:rPr>
                <w:rFonts w:ascii="Arial" w:hAnsi="Arial" w:cs="Arial"/>
                <w:b w:val="0"/>
                <w:sz w:val="16"/>
              </w:rPr>
              <w:t>0.915</w:t>
            </w:r>
          </w:p>
        </w:tc>
        <w:tc>
          <w:tcPr>
            <w:tcW w:type="dxa" w:w="850"/>
          </w:tcPr>
          <w:p>
            <w:pPr>
              <w:spacing w:after="0" w:before="0"/>
              <w:jc w:val="center"/>
            </w:pPr>
            <w:r/>
            <w:r>
              <w:rPr>
                <w:rFonts w:ascii="Arial" w:hAnsi="Arial" w:cs="Arial"/>
                <w:b w:val="0"/>
                <w:sz w:val="16"/>
              </w:rPr>
              <w:t>109/124</w:t>
            </w:r>
          </w:p>
        </w:tc>
        <w:tc>
          <w:tcPr>
            <w:tcW w:type="dxa" w:w="907"/>
          </w:tcPr>
          <w:p>
            <w:pPr>
              <w:spacing w:after="0" w:before="0"/>
              <w:jc w:val="center"/>
            </w:pPr>
            <w:r/>
            <w:r>
              <w:rPr>
                <w:rFonts w:ascii="Arial" w:hAnsi="Arial" w:cs="Arial"/>
                <w:b w:val="0"/>
                <w:sz w:val="16"/>
              </w:rPr>
              <w:t>102/110</w:t>
            </w:r>
          </w:p>
        </w:tc>
        <w:tc>
          <w:tcPr>
            <w:tcW w:type="dxa" w:w="850"/>
          </w:tcPr>
          <w:p>
            <w:pPr>
              <w:spacing w:after="0" w:before="0"/>
              <w:jc w:val="center"/>
            </w:pPr>
            <w:r/>
            <w:r>
              <w:rPr>
                <w:rFonts w:ascii="Arial" w:hAnsi="Arial" w:cs="Arial"/>
                <w:b w:val="0"/>
                <w:sz w:val="16"/>
              </w:rPr>
              <w:t>0/17</w:t>
            </w:r>
          </w:p>
        </w:tc>
        <w:tc>
          <w:tcPr>
            <w:tcW w:type="dxa" w:w="850"/>
          </w:tcPr>
          <w:p>
            <w:pPr>
              <w:spacing w:after="0" w:before="0"/>
              <w:jc w:val="center"/>
            </w:pPr>
            <w:r/>
            <w:r>
              <w:rPr>
                <w:rFonts w:ascii="Arial" w:hAnsi="Arial" w:cs="Arial"/>
                <w:b w:val="0"/>
                <w:sz w:val="16"/>
              </w:rPr>
              <w:t>105/105</w:t>
            </w:r>
          </w:p>
        </w:tc>
      </w:tr>
    </w:tbl>
    <w:p>
      <w:pPr>
        <w:spacing w:after="40" w:line="80" w:lineRule="exact"/>
      </w:pPr>
    </w:p>
    <w:p>
      <w:pPr/>
      <w:r>
        <w:rPr>
          <w:rFonts w:ascii="Arial" w:hAnsi="Arial" w:cs="Arial"/>
        </w:rPr>
        <w:t xml:space="preserve">Exact match and coverage disagree most for GLiNER PII. Its LOCATION F1 is 0.213 because it often returns the full address as one span, for example </w:t>
      </w:r>
      <w:r>
        <w:rPr>
          <w:rFonts w:ascii="Arial" w:hAnsi="Arial" w:cs="Arial"/>
          <w:i/>
        </w:rPr>
        <w:t>Via Casal Di Zaino 109, Cisterna di Latina</w:t>
      </w:r>
      <w:r>
        <w:rPr>
          <w:rFonts w:ascii="Arial" w:hAnsi="Arial" w:cs="Arial"/>
        </w:rPr>
        <w:t xml:space="preserve">, while the gold has two. For masking the two forms are equivalent. The cost is elsewhere. GLiNER PII marks 9,016 characters outside the PERSON–LOCATION gold, including e-mail addresses that the regex branch should handle, and it produces false positives on 123 of the 163 conversations without these categories, for example on </w:t>
      </w:r>
      <w:r>
        <w:rPr>
          <w:rFonts w:ascii="Arial" w:hAnsi="Arial" w:cs="Arial"/>
          <w:i/>
        </w:rPr>
        <w:t>assistenza</w:t>
      </w:r>
      <w:r>
        <w:rPr>
          <w:rFonts w:ascii="Arial" w:hAnsi="Arial" w:cs="Arial"/>
        </w:rPr>
        <w:t xml:space="preserve"> and </w:t>
      </w:r>
      <w:r>
        <w:rPr>
          <w:rFonts w:ascii="Arial" w:hAnsi="Arial" w:cs="Arial"/>
          <w:i/>
        </w:rPr>
        <w:t>recapito</w:t>
      </w:r>
      <w:r>
        <w:rPr>
          <w:rFonts w:ascii="Arial" w:hAnsi="Arial" w:cs="Arial"/>
        </w:rPr>
        <w:t>. A wide span helps when it covers an address and harms when it masks a generic word. Table 3 shows the text left visible for one address of each form.</w:t>
      </w:r>
    </w:p>
    <w:p>
      <w:pPr>
        <w:pStyle w:val="Caption"/>
        <w:keepNext/>
      </w:pPr>
      <w:r>
        <w:rPr>
          <w:rFonts w:ascii="Arial" w:hAnsi="Arial" w:cs="Arial"/>
        </w:rPr>
        <w:t>Table 3. Address text left visible by each model; one example per form, chosen where GLiNER multi covers the address and WikiNEuRal does not.</w:t>
      </w:r>
    </w:p>
    <w:tbl>
      <w:tblPr>
        <w:tblW w:type="auto" w:w="0"/>
        <w:jc w:val="center"/>
        <w:tblBorders>
          <w:top w:val="single" w:sz="8" w:space="0" w:color="000000"/>
          <w:bottom w:val="single" w:sz="8" w:space="0" w:color="000000"/>
          <w:insideH w:val="single" w:sz="2" w:space="0" w:color="000000"/>
          <w:left w:val="nil"/>
          <w:right w:val="nil"/>
          <w:insideV w:val="nil"/>
        </w:tblBorders>
        <w:tblLayout w:type="fixed"/>
        <w:tblLook w:firstColumn="1" w:firstRow="1" w:lastColumn="0" w:lastRow="0" w:noHBand="0" w:noVBand="1" w:val="04A0"/>
      </w:tblPr>
      <w:tblGrid>
        <w:gridCol w:w="3288"/>
        <w:gridCol w:w="1247"/>
        <w:gridCol w:w="1077"/>
        <w:gridCol w:w="1814"/>
        <w:gridCol w:w="1190"/>
      </w:tblGrid>
      <w:tr>
        <w:trPr>
          <w:cantSplit/>
        </w:trPr>
        <w:tc>
          <w:tcPr>
            <w:tcW w:type="dxa" w:w="3288"/>
          </w:tcPr>
          <w:p>
            <w:pPr>
              <w:keepNext/>
              <w:spacing w:after="0" w:before="0"/>
              <w:jc w:val="left"/>
            </w:pPr>
            <w:r/>
            <w:r>
              <w:rPr>
                <w:rFonts w:ascii="Arial" w:hAnsi="Arial" w:cs="Arial"/>
                <w:b/>
                <w:sz w:val="16"/>
              </w:rPr>
              <w:t>Address</w:t>
            </w:r>
          </w:p>
        </w:tc>
        <w:tc>
          <w:tcPr>
            <w:tcW w:type="dxa" w:w="1247"/>
          </w:tcPr>
          <w:p>
            <w:pPr>
              <w:keepNext/>
              <w:spacing w:after="0" w:before="0"/>
              <w:jc w:val="center"/>
            </w:pPr>
            <w:r/>
            <w:r>
              <w:rPr>
                <w:rFonts w:ascii="Arial" w:hAnsi="Arial" w:cs="Arial"/>
                <w:b/>
                <w:sz w:val="16"/>
              </w:rPr>
              <w:t>GLiNER multi</w:t>
            </w:r>
          </w:p>
        </w:tc>
        <w:tc>
          <w:tcPr>
            <w:tcW w:type="dxa" w:w="1077"/>
          </w:tcPr>
          <w:p>
            <w:pPr>
              <w:keepNext/>
              <w:spacing w:after="0" w:before="0"/>
              <w:jc w:val="center"/>
            </w:pPr>
            <w:r/>
            <w:r>
              <w:rPr>
                <w:rFonts w:ascii="Arial" w:hAnsi="Arial" w:cs="Arial"/>
                <w:b/>
                <w:sz w:val="16"/>
              </w:rPr>
              <w:t>GLiNER PII</w:t>
            </w:r>
          </w:p>
        </w:tc>
        <w:tc>
          <w:tcPr>
            <w:tcW w:type="dxa" w:w="1814"/>
          </w:tcPr>
          <w:p>
            <w:pPr>
              <w:keepNext/>
              <w:spacing w:after="0" w:before="0"/>
              <w:jc w:val="center"/>
            </w:pPr>
            <w:r/>
            <w:r>
              <w:rPr>
                <w:rFonts w:ascii="Arial" w:hAnsi="Arial" w:cs="Arial"/>
                <w:b/>
                <w:sz w:val="16"/>
              </w:rPr>
              <w:t>WikiNEuRal</w:t>
            </w:r>
          </w:p>
        </w:tc>
        <w:tc>
          <w:tcPr>
            <w:tcW w:type="dxa" w:w="1191"/>
          </w:tcPr>
          <w:p>
            <w:pPr>
              <w:keepNext/>
              <w:spacing w:after="0" w:before="0"/>
              <w:jc w:val="center"/>
            </w:pPr>
            <w:r/>
            <w:r>
              <w:rPr>
                <w:rFonts w:ascii="Arial" w:hAnsi="Arial" w:cs="Arial"/>
                <w:b/>
                <w:sz w:val="16"/>
              </w:rPr>
              <w:t>Piiranha</w:t>
            </w:r>
          </w:p>
        </w:tc>
      </w:tr>
      <w:tr>
        <w:trPr>
          <w:cantSplit/>
        </w:trPr>
        <w:tc>
          <w:tcPr>
            <w:tcW w:type="dxa" w:w="3288"/>
          </w:tcPr>
          <w:p>
            <w:pPr>
              <w:keepNext/>
              <w:spacing w:after="0" w:before="0"/>
              <w:jc w:val="left"/>
            </w:pPr>
            <w:r/>
            <w:r>
              <w:rPr>
                <w:rFonts w:ascii="Arial" w:hAnsi="Arial" w:cs="Arial"/>
                <w:b w:val="0"/>
                <w:i/>
                <w:sz w:val="16"/>
              </w:rPr>
              <w:t>Via Casal Di Zaino 109, Cisterna di Latina</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109</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Giovanni Agnelli 185, Minturno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Giovanni Agnelli 185</w:t>
            </w:r>
          </w:p>
        </w:tc>
        <w:tc>
          <w:tcPr>
            <w:tcW w:type="dxa" w:w="1191"/>
          </w:tcPr>
          <w:p>
            <w:pPr>
              <w:keepNext/>
              <w:spacing w:after="0" w:before="0"/>
              <w:jc w:val="center"/>
            </w:pPr>
            <w:r/>
            <w:r>
              <w:rPr>
                <w:rFonts w:ascii="Arial" w:hAnsi="Arial" w:cs="Arial"/>
                <w:b w:val="0"/>
                <w:sz w:val="16"/>
              </w:rPr>
              <w:t>Giovanni Agnelli</w:t>
            </w:r>
          </w:p>
        </w:tc>
      </w:tr>
      <w:tr>
        <w:trPr>
          <w:cantSplit/>
        </w:trPr>
        <w:tc>
          <w:tcPr>
            <w:tcW w:type="dxa" w:w="3288"/>
          </w:tcPr>
          <w:p>
            <w:pPr>
              <w:keepNext/>
              <w:spacing w:after="0" w:before="0"/>
              <w:jc w:val="left"/>
            </w:pPr>
            <w:r/>
            <w:r>
              <w:rPr>
                <w:rFonts w:ascii="Arial" w:hAnsi="Arial" w:cs="Arial"/>
                <w:b w:val="0"/>
                <w:i/>
                <w:sz w:val="16"/>
              </w:rPr>
              <w:t>Traversa Prima Vigne Inferiori, Santi Cosma e Damiano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Traversa Prima Vigne Inferiori</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Via Colle Sant’Upica 28</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28</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Via Silvio Pellico 198 bis, Antrodoco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198 bis</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spacing w:after="0" w:before="0"/>
              <w:jc w:val="left"/>
            </w:pPr>
            <w:r/>
            <w:r>
              <w:rPr>
                <w:rFonts w:ascii="Arial" w:hAnsi="Arial" w:cs="Arial"/>
                <w:b w:val="0"/>
                <w:i/>
                <w:sz w:val="16"/>
              </w:rPr>
              <w:t>Via La Foresta 169, interno 7, Anagni</w:t>
            </w:r>
          </w:p>
        </w:tc>
        <w:tc>
          <w:tcPr>
            <w:tcW w:type="dxa" w:w="1247"/>
          </w:tcPr>
          <w:p>
            <w:pPr>
              <w:spacing w:after="0" w:before="0"/>
              <w:jc w:val="center"/>
            </w:pPr>
            <w:r/>
            <w:r>
              <w:rPr>
                <w:rFonts w:ascii="Arial" w:hAnsi="Arial" w:cs="Arial"/>
                <w:b w:val="0"/>
                <w:sz w:val="16"/>
              </w:rPr>
              <w:t>none</w:t>
            </w:r>
          </w:p>
        </w:tc>
        <w:tc>
          <w:tcPr>
            <w:tcW w:type="dxa" w:w="1077"/>
          </w:tcPr>
          <w:p>
            <w:pPr>
              <w:spacing w:after="0" w:before="0"/>
              <w:jc w:val="center"/>
            </w:pPr>
            <w:r/>
            <w:r>
              <w:rPr>
                <w:rFonts w:ascii="Arial" w:hAnsi="Arial" w:cs="Arial"/>
                <w:b w:val="0"/>
                <w:sz w:val="16"/>
              </w:rPr>
              <w:t>none</w:t>
            </w:r>
          </w:p>
        </w:tc>
        <w:tc>
          <w:tcPr>
            <w:tcW w:type="dxa" w:w="1814"/>
          </w:tcPr>
          <w:p>
            <w:pPr>
              <w:spacing w:after="0" w:before="0"/>
              <w:jc w:val="center"/>
            </w:pPr>
            <w:r/>
            <w:r>
              <w:rPr>
                <w:rFonts w:ascii="Arial" w:hAnsi="Arial" w:cs="Arial"/>
                <w:b w:val="0"/>
                <w:sz w:val="16"/>
              </w:rPr>
              <w:t>169, interno 7</w:t>
            </w:r>
          </w:p>
        </w:tc>
        <w:tc>
          <w:tcPr>
            <w:tcW w:type="dxa" w:w="1191"/>
          </w:tcPr>
          <w:p>
            <w:pPr>
              <w:spacing w:after="0" w:before="0"/>
              <w:jc w:val="center"/>
            </w:pPr>
            <w:r/>
            <w:r>
              <w:rPr>
                <w:rFonts w:ascii="Arial" w:hAnsi="Arial" w:cs="Arial"/>
                <w:b w:val="0"/>
                <w:sz w:val="16"/>
              </w:rPr>
              <w:t>interno</w:t>
            </w:r>
          </w:p>
        </w:tc>
      </w:tr>
    </w:tbl>
    <w:p>
      <w:pPr>
        <w:spacing w:after="40" w:line="80" w:lineRule="exact"/>
      </w:pPr>
    </w:p>
    <w:p>
      <w:pPr>
        <w:pStyle w:val="Heading1"/>
      </w:pPr>
      <w:r>
        <w:rPr>
          <w:rFonts w:ascii="Arial" w:hAnsi="Arial" w:cs="Arial"/>
        </w:rPr>
        <w:t>Main Findings</w:t>
      </w:r>
    </w:p>
    <w:p>
      <w:pPr/>
      <w:r>
        <w:rPr>
          <w:rFonts w:ascii="Arial" w:hAnsi="Arial" w:cs="Arial"/>
        </w:rPr>
        <w:t>No single model is best on all counts. On this corpus Piiranha is the most balanced detector for PERSON and LOCATION, and the two GLiNER models protect addresses best at a high cost in false positives. Three findings follow. First, exact match alone misleads for addresses: it puts GLiNER PII last on LOCATION F1, while that model covers 98% of the addresses. Second, the label configuration is part of the result: the Piiranha mapping moved complete addresses from 0 to 92. Third, the component view shows which part of an address stays visible, the house number for WikiNEuRal and the internal for Piiranha, and the aggregate metrics hide it.</w:t>
      </w:r>
    </w:p>
    <w:p>
      <w:pPr/>
      <w:r>
        <w:rPr>
          <w:rFonts w:ascii="Arial" w:hAnsi="Arial" w:cs="Arial"/>
        </w:rPr>
        <w:t>In practice the results support a composite pipeline: Piiranha for PERSON, a high-recall address detector from the GLiNER family followed by a filter for role and generic words, and regex for structured identifiers, with a merge step that keeps provenance. We have not yet measured whether this combination improves the final result.</w:t>
      </w:r>
    </w:p>
    <w:p>
      <w:pPr/>
      <w:r>
        <w:rPr>
          <w:rFonts w:ascii="Arial" w:hAnsi="Arial" w:cs="Arial"/>
        </w:rPr>
        <w:t>The results hold for a synthetic corpus with a programmatic gold that no human annotator has reviewed. Addresses are oversampled by design, each model has a single configuration and no real conversation is involved. The next steps are to implement and evaluate the merge and the role filter, to calibrate thresholds on separate development and test sets, to build a small human-annotated gold, and to add the conversation-level policy. We then plan to move from detected entities to re-identification risk, including combinations of quasi-identifiers within a conversation, which connects to the disclosure risk indicator of [1]. Tests on real conversations will take place in the institute’s own environment.</w:t>
      </w:r>
    </w:p>
    <w:p>
      <w:pPr>
        <w:pStyle w:val="Heading1"/>
      </w:pPr>
      <w:r>
        <w:rPr>
          <w:rFonts w:ascii="Arial" w:hAnsi="Arial" w:cs="Arial"/>
        </w:rPr>
        <w:t>References</w:t>
      </w:r>
    </w:p>
    <w:p>
      <w:pPr>
        <w:pStyle w:val="Text1"/>
        <w:spacing w:after="80"/>
        <w:ind w:left="0"/>
        <w:jc w:val="left"/>
      </w:pPr>
      <w:r>
        <w:rPr>
          <w:rFonts w:ascii="Arial" w:hAnsi="Arial" w:cs="Arial"/>
          <w:sz w:val="20"/>
        </w:rPr>
        <w:t>[1] S. Pietropaoli, A Privacy-by-Design Framework for Chatbot Conversation Anonymisation with Hybrid NLP and Bootstrap-Based Risk Assessment, Proc. JADT 2026, 18th Int. Conf. on Statistical Analysis of Textual Data (2026), 334–343.</w:t>
      </w:r>
    </w:p>
    <w:p>
      <w:pPr>
        <w:pStyle w:val="Text1"/>
        <w:spacing w:after="80"/>
        <w:ind w:left="0"/>
        <w:jc w:val="left"/>
      </w:pPr>
      <w:r>
        <w:rPr>
          <w:rFonts w:ascii="Arial" w:hAnsi="Arial" w:cs="Arial"/>
          <w:sz w:val="20"/>
        </w:rPr>
        <w:t>[2] P. Lison, I. Pilán, D. Sanchez, M. Batet and L. Øvrelid, Anonymisation Models for Text Data: State of the Art, Challenges and Future Directions, Proc. ACL 2021 (2021), 4188–4204.</w:t>
      </w:r>
    </w:p>
    <w:p>
      <w:pPr>
        <w:pStyle w:val="Text1"/>
        <w:spacing w:after="80"/>
        <w:ind w:left="0"/>
        <w:jc w:val="left"/>
      </w:pPr>
      <w:r>
        <w:rPr>
          <w:rFonts w:ascii="Arial" w:hAnsi="Arial" w:cs="Arial"/>
          <w:sz w:val="20"/>
        </w:rPr>
        <w:t>[3] U. Zaratiana, N. Nouri, N. Tomeh, P. Holat and T. Charnois, GLiNER: Generalist Model for Named Entity Recognition using Bidirectional Transformer, Proc. NAACL 2024 (2024), 5364–5376.</w:t>
      </w:r>
    </w:p>
    <w:p>
      <w:pPr>
        <w:pStyle w:val="Text1"/>
        <w:spacing w:after="80"/>
        <w:ind w:left="0"/>
        <w:jc w:val="left"/>
      </w:pPr>
      <w:r>
        <w:rPr>
          <w:rFonts w:ascii="Arial" w:hAnsi="Arial" w:cs="Arial"/>
          <w:sz w:val="20"/>
        </w:rPr>
        <w:t>[4] S. Tedeschi, V. Maiorca, N. Campolungo, F. Cecconi and R. Navigli, WikiNEuRal: Combined Neural and Knowledge-based Silver Data Creation for Multilingual NER, Findings of EMNLP 2021 (2021), 2521–2533.</w:t>
      </w:r>
    </w:p>
    <w:p>
      <w:pPr>
        <w:pStyle w:val="Text1"/>
        <w:spacing w:after="80"/>
        <w:ind w:left="0"/>
        <w:jc w:val="left"/>
      </w:pPr>
      <w:r>
        <w:rPr>
          <w:rFonts w:ascii="Arial" w:hAnsi="Arial" w:cs="Arial"/>
          <w:sz w:val="20"/>
        </w:rPr>
        <w:t>[5] iiiorg, piiranha-v1-detect-personal-information, Hugging Face model card.</w:t>
      </w:r>
    </w:p>
    <w:sectPr w:rsidR="00BC6AFE" w:rsidRPr="00DD3610" w:rsidSect="00BC6AFE">
      <w:headerReference w:type="even" r:id="rId12"/>
      <w:headerReference w:type="default" r:id="rId13"/>
      <w:footerReference w:type="even" r:id="rId14"/>
      <w:footerReference w:type="default" r:id="rId15"/>
      <w:headerReference w:type="first" r:id="rId16"/>
      <w:footerReference w:type="first" r:id="rId17"/>
      <w:pgSz w:w="11906" w:h="16838" w:code="9"/>
      <w:pgMar w:top="1021" w:right="1701" w:bottom="1021" w:left="1588" w:header="601" w:footer="10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48A6" w14:textId="77777777" w:rsidR="00CA2E54" w:rsidRDefault="00CA2E54" w:rsidP="00BC6AFE">
      <w:pPr>
        <w:spacing w:after="0"/>
      </w:pPr>
      <w:r>
        <w:separator/>
      </w:r>
    </w:p>
  </w:endnote>
  <w:endnote w:type="continuationSeparator" w:id="0">
    <w:p w14:paraId="5A3CBFA6" w14:textId="77777777" w:rsidR="00CA2E54" w:rsidRDefault="00CA2E54" w:rsidP="00BC6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92FDE" w14:textId="77777777" w:rsidR="00AE3F4C" w:rsidRDefault="00AE3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E0F1" w14:textId="053E09C8" w:rsidR="00D24082" w:rsidRDefault="00D24082" w:rsidP="00AE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9084" w14:textId="77777777" w:rsidR="00D24082" w:rsidRDefault="00D24082">
    <w:pPr>
      <w:pStyle w:val="Footer"/>
      <w:rPr>
        <w:sz w:val="24"/>
        <w:szCs w:val="24"/>
      </w:rPr>
    </w:pPr>
  </w:p>
  <w:p w14:paraId="0C24056D" w14:textId="77777777" w:rsidR="00D24082" w:rsidRDefault="00D24082">
    <w:pPr>
      <w:pStyle w:val="Footer"/>
    </w:pPr>
    <w:r w:rsidRPr="00C0576E">
      <w:t xml:space="preserve">Commission </w:t>
    </w:r>
    <w:proofErr w:type="spellStart"/>
    <w:r w:rsidRPr="00C0576E">
      <w:t>européenne</w:t>
    </w:r>
    <w:proofErr w:type="spellEnd"/>
    <w:r w:rsidRPr="00C0576E">
      <w:t xml:space="preserve">, 2920 Luxembourg, LUXEMBOURG - Tel. </w:t>
    </w:r>
    <w:r>
      <w:t>+352 43011</w:t>
    </w:r>
    <w:r>
      <w:rPr>
        <w:noProof/>
      </w:rPr>
      <w:br/>
      <w:t>Office: BECH A2/160 - Tel. direct line +352 4301-+352-4301-35934 - Fax +352 4301-+352-4301-33899</w:t>
    </w:r>
  </w:p>
  <w:p w14:paraId="5CF0E888" w14:textId="77777777" w:rsidR="00D24082" w:rsidRDefault="00D24082">
    <w:pPr>
      <w:pStyle w:val="Footer"/>
    </w:pPr>
  </w:p>
  <w:p w14:paraId="2115A39E" w14:textId="77777777" w:rsidR="00D24082" w:rsidRDefault="00D24082">
    <w:pPr>
      <w:pStyle w:val="Footer"/>
    </w:pPr>
    <w:r>
      <w:t>http://epp.eurostat.ec.europa.eu</w:t>
    </w:r>
  </w:p>
  <w:p w14:paraId="5632A1B0" w14:textId="77777777" w:rsidR="00D24082" w:rsidRDefault="00D24082">
    <w:pPr>
      <w:pStyle w:val="Footer"/>
    </w:pPr>
    <w:r>
      <w:t>Martin.Karlberg@ec.europa.eu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47E38" w14:textId="77777777" w:rsidR="00CA2E54" w:rsidRDefault="00CA2E54" w:rsidP="00BC6AFE">
      <w:pPr>
        <w:spacing w:after="0"/>
      </w:pPr>
      <w:r>
        <w:separator/>
      </w:r>
    </w:p>
  </w:footnote>
  <w:footnote w:type="continuationSeparator" w:id="0">
    <w:p w14:paraId="2BA1E93B" w14:textId="77777777" w:rsidR="00CA2E54" w:rsidRDefault="00CA2E54" w:rsidP="00BC6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F805" w14:textId="77777777" w:rsidR="00AE3F4C" w:rsidRDefault="00AE3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F9DC" w14:textId="77777777" w:rsidR="00AE3F4C" w:rsidRDefault="00AE3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3D70" w14:textId="77777777" w:rsidR="00D24082" w:rsidRDefault="00D24082">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BDD514D"/>
    <w:multiLevelType w:val="hybridMultilevel"/>
    <w:tmpl w:val="69460624"/>
    <w:lvl w:ilvl="0" w:tplc="74323E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7"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8"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432656"/>
    <w:multiLevelType w:val="multilevel"/>
    <w:tmpl w:val="AC885D7A"/>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080"/>
        </w:tabs>
        <w:ind w:left="1080" w:hanging="600"/>
      </w:pPr>
    </w:lvl>
    <w:lvl w:ilvl="2">
      <w:start w:val="1"/>
      <w:numFmt w:val="decimal"/>
      <w:pStyle w:val="Heading3"/>
      <w:lvlText w:val="%1.%2.%3."/>
      <w:lvlJc w:val="left"/>
      <w:pPr>
        <w:tabs>
          <w:tab w:val="num" w:pos="1920"/>
        </w:tabs>
        <w:ind w:left="1920" w:hanging="840"/>
      </w:pPr>
    </w:lvl>
    <w:lvl w:ilvl="3">
      <w:start w:val="1"/>
      <w:numFmt w:val="decimal"/>
      <w:pStyle w:val="Heading4"/>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5"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6"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7"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18"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num w:numId="1" w16cid:durableId="1229456582">
    <w:abstractNumId w:val="1"/>
  </w:num>
  <w:num w:numId="2" w16cid:durableId="1468086615">
    <w:abstractNumId w:val="0"/>
  </w:num>
  <w:num w:numId="3" w16cid:durableId="2022975846">
    <w:abstractNumId w:val="13"/>
  </w:num>
  <w:num w:numId="4" w16cid:durableId="1624388766">
    <w:abstractNumId w:val="14"/>
  </w:num>
  <w:num w:numId="5" w16cid:durableId="1491170861">
    <w:abstractNumId w:val="8"/>
  </w:num>
  <w:num w:numId="6" w16cid:durableId="1534414532">
    <w:abstractNumId w:val="7"/>
  </w:num>
  <w:num w:numId="7" w16cid:durableId="2106458813">
    <w:abstractNumId w:val="5"/>
  </w:num>
  <w:num w:numId="8" w16cid:durableId="917904842">
    <w:abstractNumId w:val="4"/>
  </w:num>
  <w:num w:numId="9" w16cid:durableId="48188855">
    <w:abstractNumId w:val="15"/>
  </w:num>
  <w:num w:numId="10" w16cid:durableId="615210464">
    <w:abstractNumId w:val="17"/>
  </w:num>
  <w:num w:numId="11" w16cid:durableId="616375972">
    <w:abstractNumId w:val="16"/>
  </w:num>
  <w:num w:numId="12" w16cid:durableId="552304064">
    <w:abstractNumId w:val="18"/>
  </w:num>
  <w:num w:numId="13" w16cid:durableId="124658951">
    <w:abstractNumId w:val="6"/>
  </w:num>
  <w:num w:numId="14" w16cid:durableId="1184367382">
    <w:abstractNumId w:val="9"/>
  </w:num>
  <w:num w:numId="15" w16cid:durableId="533927035">
    <w:abstractNumId w:val="11"/>
  </w:num>
  <w:num w:numId="16" w16cid:durableId="1793591283">
    <w:abstractNumId w:val="10"/>
  </w:num>
  <w:num w:numId="17" w16cid:durableId="365568060">
    <w:abstractNumId w:val="2"/>
  </w:num>
  <w:num w:numId="18" w16cid:durableId="1459296538">
    <w:abstractNumId w:val="12"/>
  </w:num>
  <w:num w:numId="19" w16cid:durableId="982462843">
    <w:abstractNumId w:val="13"/>
  </w:num>
  <w:num w:numId="20" w16cid:durableId="18148079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T"/>
  </w:docVars>
  <w:rsids>
    <w:rsidRoot w:val="00CA2E54"/>
    <w:rsid w:val="000642A1"/>
    <w:rsid w:val="000F7438"/>
    <w:rsid w:val="00127067"/>
    <w:rsid w:val="001857CF"/>
    <w:rsid w:val="001B50CE"/>
    <w:rsid w:val="002012A8"/>
    <w:rsid w:val="00243A2C"/>
    <w:rsid w:val="002E0D97"/>
    <w:rsid w:val="00332D6F"/>
    <w:rsid w:val="0036036C"/>
    <w:rsid w:val="00372FC1"/>
    <w:rsid w:val="003D30B8"/>
    <w:rsid w:val="00401E11"/>
    <w:rsid w:val="00573E28"/>
    <w:rsid w:val="005B4EA5"/>
    <w:rsid w:val="006312AF"/>
    <w:rsid w:val="006875D6"/>
    <w:rsid w:val="00741CF0"/>
    <w:rsid w:val="00820BDC"/>
    <w:rsid w:val="00862728"/>
    <w:rsid w:val="008847C3"/>
    <w:rsid w:val="008A75D0"/>
    <w:rsid w:val="008E29ED"/>
    <w:rsid w:val="00923850"/>
    <w:rsid w:val="009A41E5"/>
    <w:rsid w:val="009B4EE0"/>
    <w:rsid w:val="00A17E8C"/>
    <w:rsid w:val="00AB4423"/>
    <w:rsid w:val="00AE3F4C"/>
    <w:rsid w:val="00B3641F"/>
    <w:rsid w:val="00B8287E"/>
    <w:rsid w:val="00B9492F"/>
    <w:rsid w:val="00BC17F5"/>
    <w:rsid w:val="00BC6AFE"/>
    <w:rsid w:val="00C0576E"/>
    <w:rsid w:val="00CA2E54"/>
    <w:rsid w:val="00D24082"/>
    <w:rsid w:val="00D52EA1"/>
    <w:rsid w:val="00DB601E"/>
    <w:rsid w:val="00DD3610"/>
    <w:rsid w:val="00E27E54"/>
    <w:rsid w:val="00F437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BA1FD"/>
  <w15:chartTrackingRefBased/>
  <w15:docId w15:val="{DFCDE6A0-FAF6-4E84-928A-9B77B4CC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A1"/>
    <w:pPr>
      <w:spacing w:after="240"/>
      <w:jc w:val="both"/>
    </w:pPr>
    <w:rPr>
      <w:sz w:val="24"/>
      <w:lang w:val="en-GB" w:eastAsia="en-US"/>
    </w:rPr>
  </w:style>
  <w:style w:type="paragraph" w:styleId="Heading1">
    <w:name w:val="heading 1"/>
    <w:basedOn w:val="Normal"/>
    <w:next w:val="Text1"/>
    <w:link w:val="Heading1Char"/>
    <w:qFormat/>
    <w:pPr>
      <w:keepNext/>
      <w:numPr>
        <w:numId w:val="3"/>
      </w:numPr>
      <w:spacing w:before="240"/>
      <w:outlineLvl w:val="0"/>
    </w:pPr>
    <w:rPr>
      <w:b/>
      <w:smallCaps/>
    </w:rPr>
  </w:style>
  <w:style w:type="paragraph" w:styleId="Heading2">
    <w:name w:val="heading 2"/>
    <w:basedOn w:val="Normal"/>
    <w:next w:val="Text2"/>
    <w:link w:val="Heading2Char"/>
    <w:qFormat/>
    <w:pPr>
      <w:keepNext/>
      <w:numPr>
        <w:ilvl w:val="1"/>
        <w:numId w:val="3"/>
      </w:numPr>
      <w:outlineLvl w:val="1"/>
    </w:pPr>
    <w:rPr>
      <w:b/>
    </w:rPr>
  </w:style>
  <w:style w:type="paragraph" w:styleId="Heading3">
    <w:name w:val="heading 3"/>
    <w:basedOn w:val="Normal"/>
    <w:next w:val="Text3"/>
    <w:qFormat/>
    <w:pPr>
      <w:keepNext/>
      <w:numPr>
        <w:ilvl w:val="2"/>
        <w:numId w:val="3"/>
      </w:numPr>
      <w:outlineLvl w:val="2"/>
    </w:pPr>
    <w:rPr>
      <w:i/>
    </w:rPr>
  </w:style>
  <w:style w:type="paragraph" w:styleId="Heading4">
    <w:name w:val="heading 4"/>
    <w:basedOn w:val="Normal"/>
    <w:next w:val="Text4"/>
    <w:qFormat/>
    <w:pPr>
      <w:keepNext/>
      <w:numPr>
        <w:ilvl w:val="3"/>
        <w:numId w:val="3"/>
      </w:numPr>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qFormat/>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ind w:left="482"/>
    </w:pPr>
  </w:style>
  <w:style w:type="paragraph" w:customStyle="1" w:styleId="Text2">
    <w:name w:val="Text 2"/>
    <w:basedOn w:val="Normal"/>
    <w:pPr>
      <w:tabs>
        <w:tab w:val="left" w:pos="2160"/>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link w:val="SignatureChar"/>
    <w:uiPriority w:val="99"/>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semiHidden/>
    <w:rPr>
      <w:sz w:val="20"/>
    </w:rPr>
  </w:style>
  <w:style w:type="paragraph" w:styleId="Date">
    <w:name w:val="Date"/>
    <w:basedOn w:val="Normal"/>
    <w:next w:val="References"/>
    <w:link w:val="DateChar"/>
    <w:uiPriority w:val="99"/>
    <w:pPr>
      <w:spacing w:after="0"/>
      <w:ind w:left="5103" w:right="-567"/>
      <w:jc w:val="left"/>
    </w:pPr>
  </w:style>
  <w:style w:type="paragraph" w:customStyle="1" w:styleId="References">
    <w:name w:val="References"/>
    <w:basedOn w:val="Normal"/>
    <w:next w:val="AddressTR"/>
    <w:uiPriority w:val="99"/>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basedOn w:val="Normal"/>
    <w:semiHidden/>
    <w:pPr>
      <w:ind w:left="357" w:hanging="357"/>
    </w:pPr>
    <w:rPr>
      <w:sz w:val="20"/>
    </w:rPr>
  </w:style>
  <w:style w:type="paragraph" w:styleId="Header">
    <w:name w:val="header"/>
    <w:basedOn w:val="Normal"/>
    <w:link w:val="HeaderChar"/>
    <w:uiPriority w:val="99"/>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4"/>
      </w:numPr>
    </w:pPr>
  </w:style>
  <w:style w:type="paragraph" w:styleId="ListBullet2">
    <w:name w:val="List Bullet 2"/>
    <w:basedOn w:val="Text2"/>
    <w:pPr>
      <w:numPr>
        <w:numId w:val="6"/>
      </w:numPr>
      <w:tabs>
        <w:tab w:val="clear" w:pos="2160"/>
      </w:tabs>
    </w:pPr>
  </w:style>
  <w:style w:type="paragraph" w:styleId="ListBullet3">
    <w:name w:val="List Bullet 3"/>
    <w:basedOn w:val="Text3"/>
    <w:pPr>
      <w:numPr>
        <w:numId w:val="7"/>
      </w:numPr>
      <w:tabs>
        <w:tab w:val="clear" w:pos="2302"/>
      </w:tabs>
    </w:pPr>
  </w:style>
  <w:style w:type="paragraph" w:styleId="ListBullet4">
    <w:name w:val="List Bullet 4"/>
    <w:basedOn w:val="Text4"/>
    <w:pPr>
      <w:numPr>
        <w:numId w:val="8"/>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Text2"/>
    <w:pPr>
      <w:numPr>
        <w:numId w:val="16"/>
      </w:numPr>
      <w:tabs>
        <w:tab w:val="clear" w:pos="2160"/>
      </w:tabs>
    </w:pPr>
  </w:style>
  <w:style w:type="paragraph" w:styleId="ListNumber3">
    <w:name w:val="List Number 3"/>
    <w:basedOn w:val="Text3"/>
    <w:pPr>
      <w:numPr>
        <w:numId w:val="17"/>
      </w:numPr>
      <w:tabs>
        <w:tab w:val="clear" w:pos="2302"/>
      </w:tabs>
    </w:pPr>
  </w:style>
  <w:style w:type="paragraph" w:styleId="ListNumber4">
    <w:name w:val="List Number 4"/>
    <w:basedOn w:val="Text4"/>
    <w:pPr>
      <w:numPr>
        <w:numId w:val="18"/>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val="en-GB"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val="0"/>
    </w:rPr>
  </w:style>
  <w:style w:type="paragraph" w:customStyle="1" w:styleId="NumPar4">
    <w:name w:val="NumPar 4"/>
    <w:basedOn w:val="Heading4"/>
    <w:next w:val="Text4"/>
    <w:pPr>
      <w:keepNext w:val="0"/>
      <w:outlineLvl w:val="9"/>
    </w:p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pPr>
      <w:tabs>
        <w:tab w:val="right" w:leader="dot" w:pos="8640"/>
      </w:tabs>
      <w:spacing w:before="120" w:after="120"/>
      <w:ind w:left="482" w:right="720" w:hanging="482"/>
    </w:pPr>
    <w:rPr>
      <w:caps/>
    </w:rPr>
  </w:style>
  <w:style w:type="paragraph" w:styleId="TOC2">
    <w:name w:val="toc 2"/>
    <w:basedOn w:val="Normal"/>
    <w:next w:val="Normal"/>
    <w:semiHidden/>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uiPriority w:val="99"/>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Designator">
    <w:name w:val="Designator"/>
    <w:basedOn w:val="Normal"/>
    <w:pPr>
      <w:spacing w:after="0"/>
      <w:jc w:val="center"/>
    </w:pPr>
    <w:rPr>
      <w:b/>
      <w:caps/>
      <w:sz w:val="32"/>
    </w:rPr>
  </w:style>
  <w:style w:type="paragraph" w:customStyle="1" w:styleId="Releasable">
    <w:name w:val="Releasable"/>
    <w:basedOn w:val="Normal"/>
    <w:qFormat/>
    <w:pPr>
      <w:spacing w:after="0"/>
      <w:jc w:val="center"/>
    </w:pPr>
    <w:rPr>
      <w:b/>
      <w:caps/>
      <w:sz w:val="32"/>
      <w:lang w:val="de-DE"/>
    </w:rPr>
  </w:style>
  <w:style w:type="paragraph" w:customStyle="1" w:styleId="RUE">
    <w:name w:val="RUE"/>
    <w:basedOn w:val="Normal"/>
    <w:pPr>
      <w:spacing w:after="0"/>
      <w:jc w:val="center"/>
    </w:pPr>
    <w:rPr>
      <w:b/>
      <w:caps/>
      <w:sz w:val="32"/>
      <w:bdr w:val="single" w:sz="18" w:space="0" w:color="auto"/>
      <w:lang w:val="de-DE"/>
    </w:rPr>
  </w:style>
  <w:style w:type="paragraph" w:customStyle="1" w:styleId="ConfidentialUE">
    <w:name w:val="Confidential UE"/>
    <w:basedOn w:val="Normal"/>
    <w:pPr>
      <w:spacing w:after="0"/>
      <w:jc w:val="center"/>
    </w:pPr>
    <w:rPr>
      <w:b/>
      <w:caps/>
      <w:sz w:val="32"/>
      <w:bdr w:val="single" w:sz="18" w:space="0" w:color="auto"/>
    </w:rPr>
  </w:style>
  <w:style w:type="paragraph" w:customStyle="1" w:styleId="TrsSecretUE">
    <w:name w:val="Très Secret UE"/>
    <w:basedOn w:val="Normal"/>
    <w:pPr>
      <w:spacing w:after="0"/>
      <w:jc w:val="center"/>
    </w:pPr>
    <w:rPr>
      <w:b/>
      <w:caps/>
      <w:color w:val="FF0000"/>
      <w:sz w:val="32"/>
      <w:bdr w:val="single" w:sz="18" w:space="0" w:color="FF0000"/>
    </w:rPr>
  </w:style>
  <w:style w:type="paragraph" w:customStyle="1" w:styleId="SecretUE">
    <w:name w:val="Secret UE"/>
    <w:basedOn w:val="Normal"/>
    <w:pPr>
      <w:spacing w:after="0"/>
      <w:jc w:val="center"/>
    </w:pPr>
    <w:rPr>
      <w:b/>
      <w:caps/>
      <w:color w:val="FF0000"/>
      <w:sz w:val="32"/>
      <w:bdr w:val="single" w:sz="18" w:space="0" w:color="FF0000"/>
    </w:rPr>
  </w:style>
  <w:style w:type="character" w:customStyle="1" w:styleId="FooterChar">
    <w:name w:val="Footer Char"/>
    <w:link w:val="Footer"/>
    <w:uiPriority w:val="99"/>
    <w:rsid w:val="00BC6AFE"/>
    <w:rPr>
      <w:rFonts w:ascii="Arial" w:hAnsi="Arial"/>
      <w:sz w:val="16"/>
      <w:lang w:eastAsia="en-US"/>
    </w:rPr>
  </w:style>
  <w:style w:type="character" w:customStyle="1" w:styleId="DateChar">
    <w:name w:val="Date Char"/>
    <w:link w:val="Date"/>
    <w:uiPriority w:val="99"/>
    <w:rsid w:val="00BC6AFE"/>
    <w:rPr>
      <w:sz w:val="24"/>
      <w:lang w:eastAsia="en-US"/>
    </w:rPr>
  </w:style>
  <w:style w:type="character" w:customStyle="1" w:styleId="SignatureChar">
    <w:name w:val="Signature Char"/>
    <w:link w:val="Signature"/>
    <w:uiPriority w:val="99"/>
    <w:rsid w:val="00BC6AFE"/>
    <w:rPr>
      <w:sz w:val="24"/>
      <w:lang w:eastAsia="en-US"/>
    </w:rPr>
  </w:style>
  <w:style w:type="paragraph" w:customStyle="1" w:styleId="ZCom">
    <w:name w:val="Z_Com"/>
    <w:basedOn w:val="Normal"/>
    <w:next w:val="ZDGName"/>
    <w:uiPriority w:val="99"/>
    <w:rsid w:val="00BC6AFE"/>
    <w:pPr>
      <w:widowControl w:val="0"/>
      <w:autoSpaceDE w:val="0"/>
      <w:autoSpaceDN w:val="0"/>
      <w:spacing w:after="0"/>
      <w:ind w:right="85"/>
    </w:pPr>
    <w:rPr>
      <w:rFonts w:ascii="Arial" w:hAnsi="Arial" w:cs="Arial"/>
      <w:szCs w:val="24"/>
      <w:lang w:eastAsia="en-GB"/>
    </w:rPr>
  </w:style>
  <w:style w:type="paragraph" w:customStyle="1" w:styleId="ZDGName">
    <w:name w:val="Z_DGName"/>
    <w:basedOn w:val="Normal"/>
    <w:uiPriority w:val="99"/>
    <w:rsid w:val="00BC6AFE"/>
    <w:pPr>
      <w:widowControl w:val="0"/>
      <w:autoSpaceDE w:val="0"/>
      <w:autoSpaceDN w:val="0"/>
      <w:spacing w:after="0"/>
      <w:ind w:right="85"/>
      <w:jc w:val="left"/>
    </w:pPr>
    <w:rPr>
      <w:rFonts w:ascii="Arial" w:hAnsi="Arial" w:cs="Arial"/>
      <w:sz w:val="16"/>
      <w:szCs w:val="16"/>
      <w:lang w:eastAsia="en-GB"/>
    </w:rPr>
  </w:style>
  <w:style w:type="character" w:customStyle="1" w:styleId="HeaderChar">
    <w:name w:val="Header Char"/>
    <w:link w:val="Header"/>
    <w:uiPriority w:val="99"/>
    <w:rsid w:val="00BC6AFE"/>
    <w:rPr>
      <w:sz w:val="24"/>
      <w:lang w:eastAsia="en-US"/>
    </w:rPr>
  </w:style>
  <w:style w:type="character" w:customStyle="1" w:styleId="Heading2Char">
    <w:name w:val="Heading 2 Char"/>
    <w:link w:val="Heading2"/>
    <w:rsid w:val="00BC6AFE"/>
    <w:rPr>
      <w:b/>
      <w:sz w:val="24"/>
      <w:lang w:eastAsia="en-US"/>
    </w:rPr>
  </w:style>
  <w:style w:type="character" w:customStyle="1" w:styleId="Heading1Char">
    <w:name w:val="Heading 1 Char"/>
    <w:link w:val="Heading1"/>
    <w:rsid w:val="00BC6AFE"/>
    <w:rPr>
      <w:b/>
      <w:smallCaps/>
      <w:sz w:val="24"/>
      <w:lang w:eastAsia="en-US"/>
    </w:rPr>
  </w:style>
  <w:style w:type="table" w:styleId="TableGrid">
    <w:name w:val="Table Grid"/>
    <w:basedOn w:val="TableNormal"/>
    <w:uiPriority w:val="59"/>
    <w:rsid w:val="00884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Author Role="Creator">
  <Id>bd75a428-bbcb-4c74-9efa-281afaab0ab2</Id>
  <Names>
    <Latin>
      <FirstName>Britta</FirstName>
      <LastName>Gauckler</LastName>
    </Latin>
    <Greek>
      <FirstName/>
      <LastName/>
    </Greek>
    <Cyrillic>
      <FirstName/>
      <LastName/>
    </Cyrillic>
    <DocumentScript>
      <FirstName>Britta</FirstName>
      <LastName>Gauckler</LastName>
      <FullName>Britta Gauckler</FullName>
    </DocumentScript>
  </Names>
  <Initials>BG</Initials>
  <Gender>f</Gender>
  <Email>Britta.GAUCKLER@ec.europa.eu</Email>
  <Service>ESTAT.B.1</Service>
  <Function/>
  <WebAddress/>
  <InheritedWebAddress>http://europa.eu</InheritedWebAddress>
  <OrgaEntity1>
    <Id>25d24451-9908-4f0e-9a6d-f256cf91ab7b</Id>
    <LogicalLevel>1</LogicalLevel>
    <Name>ESTAT</Name>
    <HeadLine1>EUROSTAT</HeadLine1>
    <HeadLine2/>
    <PrimaryAddressId>1264fb81-f6bb-475e-9f9d-a937d3be6ee2</PrimaryAddressId>
    <SecondaryAddressId/>
    <WebAddress/>
    <InheritedWebAddress>http://europa.eu</InheritedWebAddress>
    <ShowInHeader>true</ShowInHeader>
  </OrgaEntity1>
  <OrgaEntity2/>
  <OrgaEntity3/>
  <Addresses>
    <Address>
      <Id>1264fb81-f6bb-475e-9f9d-a937d3be6ee2</Id>
      <Name>Luxembourg</Name>
      <PhoneNumberPrefix>+352 4301</PhoneNumberPrefix>
      <Location>Luxembourg,</Location>
      <Footer>Commission européenne, 2920 Luxembourg, LUXEMBOURG — Tel. +352 43011</Footer>
    </Address>
    <Address>
      <Id>f03b5801-04c9-4931-aa17-c6d6c70bc579</Id>
      <Name>Brussels</Name>
      <PhoneNumberPrefix>+32 229 </PhoneNumberPrefix>
      <Location>Brussels,</Location>
      <Footer>Commission européenne/Europese Commissie, 1049 Bruxelles/Brussel, BELGIQUE/BELGIË — Tel. +32 22991111</Footer>
    </Address>
  </Addresses>
  <JobAssignmentId/>
  <MainWorkplace IsMain="true">
    <AddressId>1264fb81-f6bb-475e-9f9d-a937d3be6ee2</AddressId>
    <Fax/>
    <Phone>+352 430136641</Phone>
    <Office>BECH A2/155</Office>
  </MainWorkplace>
  <Workplaces>
    <Workplace IsMain="true">
      <AddressId>1264fb81-f6bb-475e-9f9d-a937d3be6ee2</AddressId>
      <Fax/>
      <Phone>+352 430136641</Phone>
      <Office>BECH A2/155</Office>
    </Workplace>
    <Workplace IsMain="false">
      <AddressId>f03b5801-04c9-4931-aa17-c6d6c70bc579</AddressId>
      <Fax/>
      <Phone/>
      <Office/>
    </Workplace>
  </Workplaces>
</Author>
</file>

<file path=customXml/item2.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EurolookProperties>
  <ProductCustomizationId/>
  <Created>
    <Version>4.5</Version>
    <Date>2018-05-29T11:59:20</Date>
    <Language>EN</Language>
  </Created>
  <Edited>
    <Version>10.0.40769.0</Version>
    <Date>2020-08-09T16:18:03</Date>
  </Edited>
  <DocumentModel>
    <Id>0b054141-88b1-4efb-8c91-2905cb0bed6c</Id>
    <Name>Note</Name>
  </DocumentModel>
  <DocumentDate/>
  <DocumentVersion/>
  <CompatibilityMode>Eurolook4X</CompatibilityMode>
  <Address/>
</EurolookProperties>
</file>

<file path=customXml/itemProps1.xml><?xml version="1.0" encoding="utf-8"?>
<ds:datastoreItem xmlns:ds="http://schemas.openxmlformats.org/officeDocument/2006/customXml" ds:itemID="{B406C654-FE0D-4FA5-9C33-13E2F461D7CA}">
  <ds:schemaRefs/>
</ds:datastoreItem>
</file>

<file path=customXml/itemProps2.xml><?xml version="1.0" encoding="utf-8"?>
<ds:datastoreItem xmlns:ds="http://schemas.openxmlformats.org/officeDocument/2006/customXml" ds:itemID="{502162AC-773B-4BAB-A035-07FB7E4FB26B}">
  <ds:schemaRefs/>
</ds:datastoreItem>
</file>

<file path=customXml/itemProps3.xml><?xml version="1.0" encoding="utf-8"?>
<ds:datastoreItem xmlns:ds="http://schemas.openxmlformats.org/officeDocument/2006/customXml" ds:itemID="{807DBEB3-8061-4855-89AF-AE045B0857BD}">
  <ds:schemaRefs>
    <ds:schemaRef ds:uri="http://schemas.openxmlformats.org/officeDocument/2006/bibliography"/>
  </ds:schemaRefs>
</ds:datastoreItem>
</file>

<file path=customXml/itemProps4.xml><?xml version="1.0" encoding="utf-8"?>
<ds:datastoreItem xmlns:ds="http://schemas.openxmlformats.org/officeDocument/2006/customXml" ds:itemID="{DEF58AF3-9929-4DC0-A819-0ADC671B5D1C}">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162</Words>
  <Characters>994</Characters>
  <Application>Microsoft Office Word</Application>
  <DocSecurity>0</DocSecurity>
  <PresentationFormat>Microsoft Word 14.0</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EL4</cp:keywords>
  <cp:lastModifiedBy/>
  <cp:revision>6</cp:revision>
  <cp:lastPrinted>2018-05-29T10:06:00Z</cp:lastPrinted>
  <dcterms:created xsi:type="dcterms:W3CDTF">2024-05-21T09:50:00Z</dcterms:created>
  <dcterms:modified xsi:type="dcterms:W3CDTF">2024-05-22T14:13:00Z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21000</vt:lpwstr>
  </property>
  <property fmtid="{D5CDD505-2E9C-101B-9397-08002B2CF9AE}" pid="9" name="EL_Author">
    <vt:lpwstr>Martin KARLBERG</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MSIP_Label_6bd9ddd1-4d20-43f6-abfa-fc3c07406f94_Enabled">
    <vt:lpwstr>true</vt:lpwstr>
  </property>
  <property fmtid="{D5CDD505-2E9C-101B-9397-08002B2CF9AE}" pid="14" name="MSIP_Label_6bd9ddd1-4d20-43f6-abfa-fc3c07406f94_SetDate">
    <vt:lpwstr>2024-05-15T14:28:56Z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a540707f-cec8-481a-8cbf-52e96488683a</vt:lpwstr>
  </property>
  <property fmtid="{D5CDD505-2E9C-101B-9397-08002B2CF9AE}" pid="19" name="MSIP_Label_6bd9ddd1-4d20-43f6-abfa-fc3c07406f94_ContentBits">
    <vt:lpwstr>0</vt:lpwstr>
  </property>
</Properties>
</file>