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docProps/core.xml" ContentType="application/vnd.openxmlformats-package.core-properti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="http://schemas.openxmlformats.org/wordprocessingml/2006/main" xmlns:a="http://schemas.openxmlformats.org/drawingml/2006/main" xmlns:wps="http://schemas.microsoft.com/office/word/2010/wordprocessingShape" xmlns:wpg="http://schemas.microsoft.com/office/word/2010/wordprocessingGroup" xmlns:wp14="http://schemas.microsoft.com/office/word/2010/wordprocessingDrawing" xmlns:w14="http://schemas.microsoft.com/office/word/2010/wordml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ne="http://schemas.microsoft.com/office/word/2006/wordml" xmlns:wpi="http://schemas.microsoft.com/office/word/2010/wordprocessingInk" xmlns:aink="http://schemas.microsoft.com/office/drawing/2016/ink" xmlns:dgm="http://schemas.openxmlformats.org/drawingml/2006/diagram">
  <w:body>
    <w:p w14:paraId="00000001">
      <w:r>
        <w:rPr>
          <w:b/>
          <w:bCs/>
          <w:lang w:val="en-US"/>
        </w:rPr>
        <w:t xml:space="preserve">TABLES : </w:t>
      </w:r>
      <w:r>
        <w:rPr/>
        <w:drawing xmlns:mc="http://schemas.openxmlformats.org/markup-compatibility/2006">
          <wp:inline>
            <wp:extent cx="5731510" cy="71583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>
                      <a:picLocks noGrp="0" noSelect="0" noChangeAspect="1" noMove="0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5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2"/>
    <w:p w14:paraId="00000003"/>
    <w:p w14:paraId="00000004"/>
    <w:p w14:paraId="00000005"/>
    <w:p w14:paraId="00000006">
      <w:r>
        <w:rPr/>
        <w:drawing xmlns:mc="http://schemas.openxmlformats.org/markup-compatibility/2006">
          <wp:inline>
            <wp:extent cx="5731510" cy="50679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>
                      <a:picLocks noGrp="0" noSelect="0" noChangeAspect="1" noMove="0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6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7"/>
    <w:p w14:paraId="00000008"/>
    <w:p w14:paraId="00000009"/>
    <w:p w14:paraId="0000000A"/>
    <w:p w14:paraId="0000000B"/>
    <w:p w14:paraId="0000000C"/>
    <w:p w14:paraId="0000000D"/>
    <w:p w14:paraId="0000000E"/>
    <w:p w14:paraId="0000000F"/>
    <w:p w14:paraId="00000010"/>
    <w:p w14:paraId="00000011"/>
    <w:p w14:paraId="00000012">
      <w:r>
        <w:rPr/>
        <w:drawing xmlns:mc="http://schemas.openxmlformats.org/markup-compatibility/2006">
          <wp:inline>
            <wp:extent cx="5731510" cy="51422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"/>
                    <pic:cNvPicPr>
                      <a:picLocks noGrp="0" noSelect="0" noChangeAspect="1" noMove="0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4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3"/>
    <w:p w14:paraId="00000014"/>
    <w:p w14:paraId="00000015"/>
    <w:p w14:paraId="00000016"/>
    <w:p w14:paraId="00000017"/>
    <w:p w14:paraId="00000018"/>
    <w:p w14:paraId="00000019"/>
    <w:p w14:paraId="0000001A"/>
    <w:p w14:paraId="0000001B"/>
    <w:p w14:paraId="0000001C"/>
    <w:p w14:paraId="0000001D"/>
    <w:p w14:paraId="0000001E"/>
    <w:p w14:paraId="0000001F">
      <w:r>
        <w:rPr/>
        <w:drawing xmlns:mc="http://schemas.openxmlformats.org/markup-compatibility/2006">
          <wp:inline>
            <wp:extent cx="5731510" cy="53949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>
                      <a:picLocks noGrp="0" noSelect="0" noChangeAspect="1" noMove="0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9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20"/>
    <w:p w14:paraId="00000021"/>
    <w:p w14:paraId="00000022"/>
    <w:p w14:paraId="00000023"/>
    <w:p w14:paraId="00000024"/>
    <w:p w14:paraId="00000025"/>
    <w:p w14:paraId="00000026"/>
    <w:p w14:paraId="00000027"/>
    <w:p w14:paraId="00000028"/>
    <w:p w14:paraId="00000029">
      <w:r>
        <w:rPr/>
        <w:drawing xmlns:mc="http://schemas.openxmlformats.org/markup-compatibility/2006">
          <wp:inline>
            <wp:extent cx="5731510" cy="53371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"/>
                    <pic:cNvPicPr>
                      <a:picLocks noGrp="0" noSelect="0" noChangeAspect="1" noMove="0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3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2A"/>
    <w:p w14:paraId="0000002B"/>
    <w:p w14:paraId="0000002C"/>
    <w:p w14:paraId="0000002D"/>
    <w:p w14:paraId="0000002E"/>
    <w:p w14:paraId="0000002F"/>
    <w:p w14:paraId="00000030"/>
    <w:p w14:paraId="00000031"/>
    <w:p w14:paraId="00000032"/>
    <w:p w14:paraId="00000033"/>
    <w:p w14:paraId="00000034">
      <w:pPr>
        <w:rPr>
          <w:b/>
          <w:bCs/>
        </w:rPr>
      </w:pPr>
      <w:r>
        <w:rPr>
          <w:b/>
          <w:bCs/>
          <w:lang w:val="en-US"/>
        </w:rPr>
        <w:t xml:space="preserve">VIEWS : </w:t>
      </w:r>
    </w:p>
    <w:p w14:paraId="00000035">
      <w:pPr>
        <w:rPr>
          <w:b/>
          <w:bCs/>
        </w:rPr>
      </w:pPr>
      <w:r>
        <w:rPr>
          <w:b/>
          <w:bCs/>
        </w:rPr>
        <w:drawing xmlns:mc="http://schemas.openxmlformats.org/markup-compatibility/2006">
          <wp:inline>
            <wp:extent cx="5080635" cy="62941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"/>
                    <pic:cNvPicPr>
                      <a:picLocks noGrp="0" noSelect="0" noChangeAspect="1" noMove="0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80635" cy="629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36">
      <w:pPr>
        <w:rPr>
          <w:b/>
          <w:bCs/>
        </w:rPr>
      </w:pPr>
    </w:p>
    <w:p w14:paraId="00000037">
      <w:pPr>
        <w:rPr>
          <w:b/>
          <w:bCs/>
        </w:rPr>
      </w:pPr>
    </w:p>
    <w:p w14:paraId="00000038">
      <w:pPr>
        <w:rPr>
          <w:b/>
          <w:bCs/>
        </w:rPr>
      </w:pPr>
    </w:p>
    <w:p w14:paraId="00000039">
      <w:pPr>
        <w:rPr>
          <w:b/>
          <w:bCs/>
        </w:rPr>
      </w:pPr>
    </w:p>
    <w:p w14:paraId="0000003A">
      <w:pPr>
        <w:rPr>
          <w:b/>
          <w:bCs/>
        </w:rPr>
      </w:pPr>
    </w:p>
    <w:p w14:paraId="0000003B">
      <w:pPr>
        <w:rPr>
          <w:b/>
          <w:bCs/>
        </w:rPr>
      </w:pPr>
    </w:p>
    <w:p w14:paraId="0000003C">
      <w:pPr>
        <w:rPr>
          <w:b/>
          <w:bCs/>
        </w:rPr>
      </w:pPr>
      <w:r>
        <w:rPr>
          <w:b/>
          <w:bCs/>
          <w:lang w:val="en-US"/>
        </w:rPr>
        <w:t>INGESTION OF VIEW TABLES FROM RDBMS (MYSQL) TO HDFS (HADOOP) BY USING SQOOP COMMANDS</w:t>
      </w:r>
    </w:p>
    <w:p w14:paraId="0000003D">
      <w:pPr>
        <w:rPr>
          <w:b/>
          <w:bCs/>
        </w:rPr>
      </w:pPr>
      <w:r>
        <w:rPr>
          <w:b/>
          <w:bCs/>
        </w:rPr>
        <w:drawing xmlns:mc="http://schemas.openxmlformats.org/markup-compatibility/2006">
          <wp:inline>
            <wp:extent cx="5731510" cy="66109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"/>
                    <pic:cNvPicPr>
                      <a:picLocks noGrp="0" noSelect="0" noChangeAspect="1" noMove="0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1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3E">
      <w:pPr>
        <w:rPr>
          <w:b/>
          <w:bCs/>
        </w:rPr>
      </w:pPr>
    </w:p>
    <w:p w14:paraId="0000003F">
      <w:pPr>
        <w:rPr>
          <w:b/>
          <w:bCs/>
        </w:rPr>
      </w:pPr>
    </w:p>
    <w:p w14:paraId="00000040">
      <w:pPr>
        <w:rPr>
          <w:b/>
          <w:bCs/>
        </w:rPr>
      </w:pPr>
    </w:p>
    <w:p w14:paraId="00000041">
      <w:pPr>
        <w:rPr>
          <w:b/>
          <w:bCs/>
        </w:rPr>
      </w:pPr>
    </w:p>
    <w:p w14:paraId="00000042">
      <w:pPr>
        <w:rPr>
          <w:b/>
          <w:bCs/>
        </w:rPr>
      </w:pPr>
    </w:p>
    <w:p w14:paraId="00000043">
      <w:pPr>
        <w:rPr>
          <w:b/>
          <w:bCs/>
        </w:rPr>
      </w:pPr>
      <w:r>
        <w:rPr>
          <w:b/>
          <w:bCs/>
          <w:lang w:val="en-US"/>
        </w:rPr>
        <w:t xml:space="preserve">LOAD DATA FROM HDFS TO HIVE TABLE : </w:t>
      </w:r>
    </w:p>
    <w:p w14:paraId="00000044">
      <w:pPr>
        <w:rPr>
          <w:b/>
          <w:bCs/>
        </w:rPr>
      </w:pPr>
      <w:r>
        <w:rPr>
          <w:b/>
          <w:bCs/>
        </w:rPr>
        <w:drawing xmlns:mc="http://schemas.openxmlformats.org/markup-compatibility/2006">
          <wp:inline>
            <wp:extent cx="4364355" cy="664019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"/>
                    <pic:cNvPicPr>
                      <a:picLocks noGrp="0" noSelect="0" noChangeAspect="1" noMove="0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64355" cy="664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45">
      <w:pPr>
        <w:rPr>
          <w:b/>
          <w:bCs/>
        </w:rPr>
      </w:pPr>
      <w:r>
        <w:rPr>
          <w:b/>
          <w:bCs/>
        </w:rPr>
        <w:drawing xmlns:mc="http://schemas.openxmlformats.org/markup-compatibility/2006">
          <wp:inline>
            <wp:extent cx="4698365" cy="64262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"/>
                    <pic:cNvPicPr>
                      <a:picLocks noGrp="0" noSelect="0" noChangeAspect="1" noMove="0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98365" cy="642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46">
      <w:pPr>
        <w:rPr>
          <w:b/>
          <w:bCs/>
        </w:rPr>
      </w:pPr>
    </w:p>
    <w:p w14:paraId="00000047">
      <w:pPr>
        <w:rPr>
          <w:b/>
          <w:bCs/>
        </w:rPr>
      </w:pPr>
    </w:p>
    <w:p w14:paraId="00000048">
      <w:pPr>
        <w:rPr>
          <w:b/>
          <w:bCs/>
        </w:rPr>
      </w:pPr>
    </w:p>
    <w:p w14:paraId="00000049">
      <w:pPr>
        <w:rPr>
          <w:b/>
          <w:bCs/>
        </w:rPr>
      </w:pPr>
    </w:p>
    <w:p w14:paraId="0000004A">
      <w:pPr>
        <w:rPr>
          <w:b/>
          <w:bCs/>
        </w:rPr>
      </w:pPr>
    </w:p>
    <w:p w14:paraId="0000004B">
      <w:pPr>
        <w:rPr>
          <w:b/>
          <w:bCs/>
        </w:rPr>
      </w:pPr>
    </w:p>
    <w:p w14:paraId="0000004C">
      <w:pPr>
        <w:rPr>
          <w:b/>
          <w:bCs/>
        </w:rPr>
      </w:pPr>
    </w:p>
    <w:p w14:paraId="0000004D">
      <w:pPr>
        <w:rPr>
          <w:b/>
          <w:bCs/>
        </w:rPr>
      </w:pPr>
      <w:r>
        <w:rPr>
          <w:b/>
          <w:bCs/>
        </w:rPr>
        <w:drawing xmlns:mc="http://schemas.openxmlformats.org/markup-compatibility/2006">
          <wp:inline>
            <wp:extent cx="4737735" cy="630491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"/>
                    <pic:cNvPicPr>
                      <a:picLocks noGrp="0" noSelect="0" noChangeAspect="1" noMove="0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37735" cy="630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4E">
      <w:pPr>
        <w:rPr>
          <w:b/>
          <w:bCs/>
        </w:rPr>
      </w:pPr>
    </w:p>
    <w:p w14:paraId="0000004F">
      <w:pPr>
        <w:rPr>
          <w:b/>
          <w:bCs/>
        </w:rPr>
      </w:pPr>
    </w:p>
    <w:p w14:paraId="00000050">
      <w:pPr>
        <w:rPr>
          <w:b/>
          <w:bCs/>
        </w:rPr>
      </w:pPr>
    </w:p>
    <w:p w14:paraId="00000051">
      <w:pPr>
        <w:rPr>
          <w:b/>
          <w:bCs/>
        </w:rPr>
      </w:pPr>
    </w:p>
    <w:p w14:paraId="00000052">
      <w:pPr>
        <w:rPr>
          <w:b/>
          <w:bCs/>
        </w:rPr>
      </w:pPr>
    </w:p>
    <w:p w14:paraId="00000053">
      <w:pPr>
        <w:rPr>
          <w:b/>
          <w:bCs/>
        </w:rPr>
      </w:pPr>
    </w:p>
    <w:p w14:paraId="00000054">
      <w:pPr>
        <w:rPr>
          <w:b/>
          <w:bCs/>
        </w:rPr>
      </w:pPr>
    </w:p>
    <w:p w14:paraId="00000055">
      <w:pPr>
        <w:rPr>
          <w:b/>
          <w:bCs/>
        </w:rPr>
      </w:pPr>
      <w:r>
        <w:rPr>
          <w:b/>
          <w:bCs/>
          <w:lang w:val="en-US"/>
        </w:rPr>
        <w:t xml:space="preserve">SALES ANALYSIS : </w:t>
      </w:r>
    </w:p>
    <w:p w14:paraId="00000056">
      <w:pPr>
        <w:rPr>
          <w:b/>
          <w:bCs/>
        </w:rPr>
      </w:pPr>
      <w:r>
        <w:rPr>
          <w:b/>
          <w:bCs/>
          <w:lang w:val="en-US"/>
        </w:rPr>
        <w:t>To find the discount ranges for a product id</w:t>
      </w:r>
    </w:p>
    <w:p w14:paraId="00000057">
      <w:pPr>
        <w:rPr>
          <w:b/>
          <w:bCs/>
        </w:rPr>
      </w:pPr>
      <w:r>
        <w:rPr>
          <w:b/>
          <w:bCs/>
        </w:rPr>
        <w:drawing xmlns:mc="http://schemas.openxmlformats.org/markup-compatibility/2006">
          <wp:inline>
            <wp:extent cx="5731510" cy="199771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"/>
                    <pic:cNvPicPr>
                      <a:picLocks noGrp="0" noSelect="0" noChangeAspect="1" noMove="0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58">
      <w:pPr>
        <w:rPr>
          <w:b/>
          <w:bCs/>
        </w:rPr>
      </w:pPr>
    </w:p>
    <w:p w14:paraId="00000059">
      <w:pPr>
        <w:rPr>
          <w:b/>
          <w:bCs/>
        </w:rPr>
      </w:pPr>
      <w:r>
        <w:rPr>
          <w:b/>
          <w:bCs/>
        </w:rPr>
        <w:drawing xmlns:mc="http://schemas.openxmlformats.org/markup-compatibility/2006">
          <wp:inline>
            <wp:extent cx="5232400" cy="39217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"/>
                    <pic:cNvPicPr>
                      <a:picLocks noGrp="0" noSelect="0" noChangeAspect="1" noMove="0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392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5A">
      <w:pPr>
        <w:rPr>
          <w:b/>
          <w:bCs/>
        </w:rPr>
      </w:pPr>
    </w:p>
    <w:p w14:paraId="0000005B">
      <w:pPr>
        <w:rPr>
          <w:b/>
          <w:bCs/>
        </w:rPr>
      </w:pPr>
    </w:p>
    <w:p w14:paraId="0000005C">
      <w:pPr>
        <w:rPr>
          <w:b/>
          <w:bCs/>
        </w:rPr>
      </w:pPr>
    </w:p>
    <w:p w14:paraId="0000005D">
      <w:pPr>
        <w:rPr>
          <w:b/>
          <w:bCs/>
        </w:rPr>
      </w:pPr>
    </w:p>
    <w:p w14:paraId="0000005E">
      <w:pPr>
        <w:rPr>
          <w:b/>
          <w:bCs/>
        </w:rPr>
      </w:pPr>
    </w:p>
    <w:p w14:paraId="0000005F">
      <w:pPr>
        <w:rPr>
          <w:b/>
          <w:bCs/>
        </w:rPr>
      </w:pPr>
    </w:p>
    <w:p w14:paraId="00000060">
      <w:pPr>
        <w:rPr>
          <w:b/>
          <w:bCs/>
        </w:rPr>
      </w:pPr>
      <w:r>
        <w:rPr>
          <w:b/>
          <w:bCs/>
          <w:lang w:val="en-US"/>
        </w:rPr>
        <w:t>To get the products that’s has offered maximum discount of 0.02</w:t>
      </w:r>
    </w:p>
    <w:p w14:paraId="00000061">
      <w:pPr>
        <w:rPr>
          <w:b/>
          <w:bCs/>
          <w:lang w:val="en-US"/>
        </w:rPr>
      </w:pPr>
      <w:r>
        <w:rPr>
          <w:b/>
          <w:bCs/>
          <w:lang w:val="en-US"/>
        </w:rPr>
        <w:drawing xmlns:mc="http://schemas.openxmlformats.org/markup-compatibility/2006">
          <wp:inline>
            <wp:extent cx="6136005" cy="107061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"/>
                    <pic:cNvPicPr>
                      <a:picLocks noGrp="0" noSelect="0" noChangeAspect="1" noMove="0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36005" cy="107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62">
      <w:pPr>
        <w:rPr>
          <w:b/>
          <w:bCs/>
        </w:rPr>
      </w:pPr>
    </w:p>
    <w:p w14:paraId="00000063">
      <w:pPr>
        <w:rPr>
          <w:b/>
          <w:bCs/>
        </w:rPr>
      </w:pPr>
      <w:r>
        <w:rPr>
          <w:b/>
          <w:bCs/>
        </w:rPr>
        <w:drawing xmlns:mc="http://schemas.openxmlformats.org/markup-compatibility/2006">
          <wp:inline>
            <wp:extent cx="4787265" cy="148272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"/>
                    <pic:cNvPicPr>
                      <a:picLocks noGrp="0" noSelect="0" noChangeAspect="1" noMove="0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87265" cy="148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64">
      <w:pPr>
        <w:rPr>
          <w:b/>
          <w:bCs/>
        </w:rPr>
      </w:pPr>
    </w:p>
    <w:p w14:paraId="00000065">
      <w:pPr>
        <w:rPr>
          <w:b/>
          <w:bCs/>
        </w:rPr>
      </w:pPr>
    </w:p>
    <w:p w14:paraId="00000066">
      <w:pPr>
        <w:rPr>
          <w:b/>
          <w:bCs/>
        </w:rPr>
      </w:pPr>
    </w:p>
    <w:p w14:paraId="00000067">
      <w:pPr>
        <w:rPr>
          <w:b/>
          <w:bCs/>
        </w:rPr>
      </w:pPr>
    </w:p>
    <w:p w14:paraId="00000068">
      <w:pPr>
        <w:rPr>
          <w:b/>
          <w:bCs/>
        </w:rPr>
      </w:pPr>
    </w:p>
    <w:p w14:paraId="00000069">
      <w:pPr>
        <w:rPr>
          <w:b/>
          <w:bCs/>
        </w:rPr>
      </w:pPr>
    </w:p>
    <w:p w14:paraId="0000006A">
      <w:pPr>
        <w:rPr>
          <w:b/>
          <w:bCs/>
        </w:rPr>
      </w:pPr>
    </w:p>
    <w:p w14:paraId="0000006B">
      <w:pPr>
        <w:rPr>
          <w:b/>
          <w:bCs/>
        </w:rPr>
      </w:pPr>
    </w:p>
    <w:p w14:paraId="0000006C">
      <w:pPr>
        <w:rPr>
          <w:b/>
          <w:bCs/>
        </w:rPr>
      </w:pPr>
    </w:p>
    <w:p w14:paraId="0000006D">
      <w:pPr>
        <w:rPr>
          <w:b/>
          <w:bCs/>
        </w:rPr>
      </w:pPr>
    </w:p>
    <w:p w14:paraId="0000006E">
      <w:pPr>
        <w:rPr>
          <w:b/>
          <w:bCs/>
        </w:rPr>
      </w:pPr>
    </w:p>
    <w:p w14:paraId="0000006F">
      <w:pPr>
        <w:rPr>
          <w:b/>
          <w:bCs/>
        </w:rPr>
      </w:pPr>
    </w:p>
    <w:p w14:paraId="00000070">
      <w:pPr>
        <w:rPr>
          <w:b/>
          <w:bCs/>
        </w:rPr>
      </w:pPr>
    </w:p>
    <w:p w14:paraId="00000071">
      <w:pPr>
        <w:rPr>
          <w:b/>
          <w:bCs/>
        </w:rPr>
      </w:pPr>
    </w:p>
    <w:p w14:paraId="00000072">
      <w:pPr>
        <w:rPr>
          <w:b/>
          <w:bCs/>
        </w:rPr>
      </w:pPr>
    </w:p>
    <w:p w14:paraId="00000073">
      <w:pPr>
        <w:rPr>
          <w:b/>
          <w:bCs/>
        </w:rPr>
      </w:pPr>
      <w:r>
        <w:rPr>
          <w:b/>
          <w:bCs/>
          <w:lang w:val="en-US"/>
        </w:rPr>
        <w:t>Sales contribution by customer and discounts offered</w:t>
      </w:r>
    </w:p>
    <w:p w14:paraId="00000074">
      <w:pPr>
        <w:rPr>
          <w:b/>
          <w:bCs/>
        </w:rPr>
      </w:pPr>
      <w:r>
        <w:rPr>
          <w:b/>
          <w:bCs/>
        </w:rPr>
        <w:drawing xmlns:mc="http://schemas.openxmlformats.org/markup-compatibility/2006">
          <wp:inline>
            <wp:extent cx="5731510" cy="114236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"/>
                    <pic:cNvPicPr>
                      <a:picLocks noGrp="0" noSelect="0" noChangeAspect="1" noMove="0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75">
      <w:pPr>
        <w:rPr>
          <w:b/>
          <w:bCs/>
        </w:rPr>
      </w:pPr>
    </w:p>
    <w:p w14:paraId="00000076">
      <w:pPr>
        <w:rPr>
          <w:b/>
          <w:bCs/>
        </w:rPr>
      </w:pPr>
      <w:r>
        <w:rPr>
          <w:b/>
          <w:bCs/>
        </w:rPr>
        <w:drawing xmlns:mc="http://schemas.openxmlformats.org/markup-compatibility/2006">
          <wp:inline>
            <wp:extent cx="5671185" cy="271716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"/>
                    <pic:cNvPicPr>
                      <a:picLocks noGrp="0" noSelect="0" noChangeAspect="1" noMove="0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71185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77">
      <w:pPr>
        <w:rPr>
          <w:b/>
          <w:bCs/>
        </w:rPr>
      </w:pPr>
    </w:p>
    <w:p w14:paraId="00000078">
      <w:pPr>
        <w:rPr>
          <w:b/>
          <w:bCs/>
        </w:rPr>
      </w:pPr>
    </w:p>
    <w:p w14:paraId="00000079">
      <w:pPr>
        <w:rPr>
          <w:b/>
          <w:bCs/>
        </w:rPr>
      </w:pPr>
    </w:p>
    <w:p w14:paraId="0000007A">
      <w:pPr>
        <w:rPr>
          <w:b/>
          <w:bCs/>
        </w:rPr>
      </w:pPr>
    </w:p>
    <w:p w14:paraId="0000007B">
      <w:pPr>
        <w:rPr>
          <w:b/>
          <w:bCs/>
        </w:rPr>
      </w:pPr>
    </w:p>
    <w:p w14:paraId="0000007C">
      <w:pPr>
        <w:rPr>
          <w:b/>
          <w:bCs/>
        </w:rPr>
      </w:pPr>
    </w:p>
    <w:p w14:paraId="0000007D">
      <w:pPr>
        <w:rPr>
          <w:b/>
          <w:bCs/>
        </w:rPr>
      </w:pPr>
    </w:p>
    <w:p w14:paraId="0000007E">
      <w:pPr>
        <w:rPr>
          <w:b/>
          <w:bCs/>
        </w:rPr>
      </w:pPr>
    </w:p>
    <w:p w14:paraId="0000007F">
      <w:pPr>
        <w:rPr>
          <w:b/>
          <w:bCs/>
        </w:rPr>
      </w:pPr>
    </w:p>
    <w:p w14:paraId="00000080">
      <w:pPr>
        <w:rPr>
          <w:b/>
          <w:bCs/>
        </w:rPr>
      </w:pPr>
    </w:p>
    <w:p w14:paraId="00000081">
      <w:pPr>
        <w:rPr>
          <w:b/>
          <w:bCs/>
        </w:rPr>
      </w:pPr>
    </w:p>
    <w:p w14:paraId="00000082">
      <w:pPr>
        <w:rPr>
          <w:b/>
          <w:bCs/>
        </w:rPr>
      </w:pPr>
    </w:p>
    <w:p w14:paraId="00000083">
      <w:pPr>
        <w:rPr>
          <w:b/>
          <w:bCs/>
        </w:rPr>
      </w:pPr>
      <w:r>
        <w:rPr>
          <w:b/>
          <w:bCs/>
          <w:lang w:val="en-US"/>
        </w:rPr>
        <w:t xml:space="preserve">SPARK XML PROCESSING : </w:t>
      </w:r>
    </w:p>
    <w:p w14:paraId="00000084">
      <w:pPr>
        <w:rPr>
          <w:b/>
          <w:bCs/>
        </w:rPr>
      </w:pPr>
      <w:r>
        <w:rPr>
          <w:b/>
          <w:bCs/>
        </w:rPr>
        <w:drawing xmlns:mc="http://schemas.openxmlformats.org/markup-compatibility/2006">
          <wp:inline>
            <wp:extent cx="5731510" cy="445833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"/>
                    <pic:cNvPicPr>
                      <a:picLocks noGrp="0" noSelect="0" noChangeAspect="1" noMove="0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5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85">
      <w:pPr>
        <w:rPr>
          <w:b/>
          <w:bCs/>
        </w:rPr>
      </w:pPr>
      <w:r>
        <w:rPr>
          <w:b/>
          <w:bCs/>
        </w:rPr>
        <w:drawing xmlns:mc="http://schemas.openxmlformats.org/markup-compatibility/2006">
          <wp:inline>
            <wp:extent cx="5731510" cy="646874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"/>
                    <pic:cNvPicPr>
                      <a:picLocks noGrp="0" noSelect="0" noChangeAspect="1" noMove="0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6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86">
      <w:pPr>
        <w:rPr>
          <w:b/>
          <w:bCs/>
        </w:rPr>
      </w:pPr>
    </w:p>
    <w:p w14:paraId="00000087">
      <w:pPr>
        <w:rPr>
          <w:b/>
          <w:bCs/>
        </w:rPr>
      </w:pPr>
    </w:p>
    <w:p w14:paraId="00000088">
      <w:pPr>
        <w:rPr>
          <w:b/>
          <w:bCs/>
        </w:rPr>
      </w:pPr>
    </w:p>
    <w:p w14:paraId="00000089">
      <w:pPr>
        <w:rPr>
          <w:b/>
          <w:bCs/>
        </w:rPr>
      </w:pPr>
    </w:p>
    <w:p w14:paraId="0000008A">
      <w:pPr>
        <w:rPr>
          <w:b/>
          <w:bCs/>
        </w:rPr>
      </w:pPr>
    </w:p>
    <w:p w14:paraId="0000008B">
      <w:pPr>
        <w:rPr>
          <w:b/>
          <w:bCs/>
        </w:rPr>
      </w:pPr>
    </w:p>
    <w:p w14:paraId="0000008C">
      <w:pPr>
        <w:rPr>
          <w:b/>
          <w:bCs/>
        </w:rPr>
      </w:pPr>
    </w:p>
    <w:p w14:paraId="0000008D">
      <w:pPr>
        <w:rPr>
          <w:b/>
          <w:bCs/>
        </w:rPr>
      </w:pPr>
      <w:r>
        <w:rPr>
          <w:b/>
          <w:bCs/>
        </w:rPr>
        <w:drawing xmlns:mc="http://schemas.openxmlformats.org/markup-compatibility/2006">
          <wp:inline>
            <wp:extent cx="5731510" cy="446087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"/>
                    <pic:cNvPicPr>
                      <a:picLocks noGrp="0" noSelect="0" noChangeAspect="1" noMove="0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6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8E">
      <w:pPr>
        <w:rPr>
          <w:b/>
          <w:bCs/>
        </w:rPr>
      </w:pPr>
      <w:r>
        <w:rPr>
          <w:b/>
          <w:bCs/>
        </w:rPr>
        <w:drawing xmlns:mc="http://schemas.openxmlformats.org/markup-compatibility/2006">
          <wp:inline>
            <wp:extent cx="4241800" cy="42418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"/>
                    <pic:cNvPicPr>
                      <a:picLocks noGrp="0" noSelect="0" noChangeAspect="1" noMove="0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41800" cy="424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8F">
      <w:pPr>
        <w:rPr>
          <w:b/>
          <w:bCs/>
        </w:rPr>
      </w:pPr>
    </w:p>
    <w:p w14:paraId="00000090">
      <w:pPr>
        <w:rPr>
          <w:b/>
          <w:bCs/>
        </w:rPr>
      </w:pPr>
      <w:r>
        <w:rPr>
          <w:b/>
          <w:bCs/>
        </w:rPr>
        <w:drawing xmlns:mc="http://schemas.openxmlformats.org/markup-compatibility/2006">
          <wp:inline>
            <wp:extent cx="5731510" cy="309626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"/>
                    <pic:cNvPicPr>
                      <a:picLocks noGrp="0" noSelect="0" noChangeAspect="1" noMove="0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91">
      <w:pPr>
        <w:rPr>
          <w:b/>
          <w:bCs/>
        </w:rPr>
      </w:pPr>
    </w:p>
    <w:p w14:paraId="00000092">
      <w:pPr>
        <w:rPr>
          <w:b/>
          <w:bCs/>
        </w:rPr>
      </w:pPr>
    </w:p>
    <w:p w14:paraId="00000093">
      <w:pPr>
        <w:rPr>
          <w:b/>
          <w:bCs/>
        </w:rPr>
      </w:pPr>
    </w:p>
    <w:p w14:paraId="00000094">
      <w:pPr>
        <w:rPr>
          <w:b/>
          <w:bCs/>
        </w:rPr>
      </w:pPr>
      <w:r>
        <w:rPr>
          <w:b/>
          <w:bCs/>
        </w:rPr>
        <w:drawing xmlns:mc="http://schemas.openxmlformats.org/markup-compatibility/2006">
          <wp:inline>
            <wp:extent cx="5731510" cy="356679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"/>
                    <pic:cNvPicPr>
                      <a:picLocks noGrp="0" noSelect="0" noChangeAspect="1" noMove="0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95">
      <w:pPr>
        <w:rPr>
          <w:b/>
          <w:bCs/>
        </w:rPr>
      </w:pPr>
    </w:p>
    <w:p w14:paraId="00000096">
      <w:pPr>
        <w:rPr>
          <w:b/>
          <w:bCs/>
        </w:rPr>
      </w:pPr>
    </w:p>
    <w:p w14:paraId="00000097">
      <w:pPr>
        <w:rPr>
          <w:b/>
          <w:bCs/>
        </w:rPr>
      </w:pPr>
      <w:r>
        <w:rPr>
          <w:b/>
          <w:bCs/>
        </w:rPr>
        <w:drawing xmlns:mc="http://schemas.openxmlformats.org/markup-compatibility/2006">
          <wp:inline>
            <wp:extent cx="5731510" cy="299148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"/>
                    <pic:cNvPicPr>
                      <a:picLocks noGrp="0" noSelect="0" noChangeAspect="1" noMove="0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98">
      <w:pPr>
        <w:rPr>
          <w:b/>
          <w:bCs/>
        </w:rPr>
      </w:pPr>
    </w:p>
    <w:p w14:paraId="00000099">
      <w:pPr>
        <w:rPr>
          <w:b/>
          <w:bCs/>
        </w:rPr>
      </w:pPr>
    </w:p>
    <w:p w14:paraId="0000009A">
      <w:pPr>
        <w:rPr>
          <w:b/>
          <w:bCs/>
        </w:rPr>
      </w:pPr>
    </w:p>
    <w:p w14:paraId="0000009B">
      <w:pPr>
        <w:rPr>
          <w:b/>
          <w:bCs/>
        </w:rPr>
      </w:pPr>
      <w:r>
        <w:rPr>
          <w:b/>
          <w:bCs/>
        </w:rPr>
        <w:drawing xmlns:mc="http://schemas.openxmlformats.org/markup-compatibility/2006">
          <wp:inline>
            <wp:extent cx="5731510" cy="285559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"/>
                    <pic:cNvPicPr>
                      <a:picLocks noGrp="0" noSelect="0" noChangeAspect="1" noMove="0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9C">
      <w:pPr>
        <w:rPr>
          <w:b/>
          <w:bCs/>
        </w:rPr>
      </w:pPr>
    </w:p>
    <w:p w14:paraId="0000009D">
      <w:pPr>
        <w:rPr>
          <w:b/>
          <w:bCs/>
        </w:rPr>
      </w:pPr>
    </w:p>
    <w:p w14:paraId="0000009E">
      <w:pPr>
        <w:rPr>
          <w:b/>
          <w:bCs/>
        </w:rPr>
      </w:pPr>
      <w:r>
        <w:rPr>
          <w:b/>
          <w:bCs/>
        </w:rPr>
        <w:drawing xmlns:mc="http://schemas.openxmlformats.org/markup-compatibility/2006">
          <wp:inline>
            <wp:extent cx="5731510" cy="495109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"/>
                    <pic:cNvPicPr>
                      <a:picLocks noGrp="0" noSelect="0" noChangeAspect="1" noMove="0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5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9F">
      <w:pPr>
        <w:rPr>
          <w:b/>
          <w:bCs/>
        </w:rPr>
      </w:pPr>
    </w:p>
    <w:p w14:paraId="000000A0">
      <w:pPr>
        <w:rPr>
          <w:b/>
          <w:bCs/>
        </w:rPr>
      </w:pPr>
      <w:r>
        <w:rPr>
          <w:b/>
          <w:bCs/>
        </w:rPr>
        <w:drawing xmlns:mc="http://schemas.openxmlformats.org/markup-compatibility/2006">
          <wp:inline>
            <wp:extent cx="5731510" cy="247904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"/>
                    <pic:cNvPicPr>
                      <a:picLocks noGrp="0" noSelect="0" noChangeAspect="1" noMove="0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A1">
      <w:pPr>
        <w:rPr>
          <w:b/>
          <w:bCs/>
        </w:rPr>
      </w:pPr>
    </w:p>
    <w:p w14:paraId="000000A2">
      <w:pPr>
        <w:rPr>
          <w:b/>
          <w:bCs/>
        </w:rPr>
      </w:pPr>
      <w:r>
        <w:rPr>
          <w:b/>
          <w:bCs/>
        </w:rPr>
        <w:drawing xmlns:mc="http://schemas.openxmlformats.org/markup-compatibility/2006">
          <wp:inline>
            <wp:extent cx="5731510" cy="164211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"/>
                    <pic:cNvPicPr>
                      <a:picLocks noGrp="0" noSelect="0" noChangeAspect="1" noMove="0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A3">
      <w:pPr>
        <w:rPr>
          <w:b/>
          <w:bCs/>
        </w:rPr>
      </w:pPr>
    </w:p>
    <w:p w14:paraId="000000A4">
      <w:pPr>
        <w:rPr>
          <w:b/>
          <w:bCs/>
        </w:rPr>
      </w:pPr>
    </w:p>
    <w:p w14:paraId="000000A5">
      <w:pPr>
        <w:rPr>
          <w:b/>
          <w:bCs/>
        </w:rPr>
      </w:pPr>
      <w:r>
        <w:rPr>
          <w:b/>
          <w:bCs/>
        </w:rPr>
        <w:drawing xmlns:mc="http://schemas.openxmlformats.org/markup-compatibility/2006">
          <wp:inline>
            <wp:extent cx="5731510" cy="329438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"/>
                    <pic:cNvPicPr>
                      <a:picLocks noGrp="0" noSelect="0" noChangeAspect="1" noMove="0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A6">
      <w:pPr>
        <w:rPr>
          <w:b/>
          <w:bCs/>
        </w:rPr>
      </w:pPr>
    </w:p>
    <w:p w14:paraId="000000A7">
      <w:pPr>
        <w:rPr>
          <w:b/>
          <w:bCs/>
        </w:rPr>
      </w:pPr>
      <w:r>
        <w:rPr>
          <w:b/>
          <w:bCs/>
        </w:rPr>
        <w:drawing xmlns:mc="http://schemas.openxmlformats.org/markup-compatibility/2006">
          <wp:inline>
            <wp:extent cx="3665220" cy="196723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"/>
                    <pic:cNvPicPr>
                      <a:picLocks noGrp="0" noSelect="0" noChangeAspect="1" noMove="0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65220" cy="196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footnotePr/>
      <w:footnotePr/>
      <w:type w:val="nextPage"/>
      <w:pgSz w:w="11906" w:h="16838" w:orient="portrait"/>
      <w:pgMar w:top="1440" w:right="1440" w:bottom="1440" w:left="1440" w:header="708" w:footer="708" w:gutter="0"/>
      <w:paperSrc w:first="1" w:other="1"/>
      <w:cols w:equalWidth="1" w:space="720" w:num="1" w:sep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roman"/>
    <w:pitch w:val="variable"/>
    <w:sig w:usb0="61002a87" w:usb1="80000000" w:usb2="00000008" w:usb3="00000000" w:csb0="000001ff" w:csb1="00000000"/>
  </w:font>
  <w:font w:name="Verdana">
    <w:panose1 w:val="020b0604030504040204"/>
    <w:charset w:val="00"/>
    <w:family w:val="roman"/>
    <w:pitch w:val="variable"/>
    <w:sig w:usb0="a10006ff" w:usb1="4000205b" w:usb2="00000010" w:usb3="00000000" w:csb0="0000019f" w:csb1="00000000"/>
  </w:font>
  <w:font w:name="Symbol">
    <w:panose1 w:val="05050102010706020507"/>
    <w:charset w:val="02"/>
    <w:family w:val="roman"/>
    <w:notTrueType w:val="on"/>
    <w:pitch w:val="variable"/>
  </w:font>
  <w:font w:name="Wingdings">
    <w:panose1 w:val="05000000000000000000"/>
    <w:charset w:val="02"/>
    <w:family w:val="auto"/>
    <w:notTrueType w:val="on"/>
    <w:pitch w:val="variable"/>
  </w:font>
  <w:font w:name="Helvetica Neue">
    <w:charset w:val="00"/>
    <w:family w:val="swiss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trackRevisions w:val="off"/>
  <w:compat>
    <w:compatSetting w:name="compatibilityMode" w:uri="http://schemas.microsoft.com/office/word" w:val="14"/>
  </w:compat>
  <w:footnotePr/>
  <w:endnotePr/>
  <w:themeFontLang w:val="en-US" w:eastAsia="zh-CN" w:bidi="ar-SA"/>
  <w:clrSchemeMapping w:accent1="accent1" w:accent2="accent2" w:accent3="accent3" w:accent4="accent4" w:accent5="accent5" w:accent6="accent6" w:bg1="light1" w:bg2="light2" w:followedHyperlink="followedHyperlink" w:hyperlink="hyperlink" w:text1="dark1" w:text2="dark2"/>
</w:settings>
</file>

<file path=word/styles.xml><?xml version="1.0" encoding="utf-8"?>
<w:styles xmlns:r="http://schemas.openxmlformats.org/officeDocument/2006/relationships" xmlns:w14="http://schemas.microsoft.com/office/word/2010/wordml" xmlns:w="http://schemas.openxmlformats.org/wordprocessingml/2006/main">
  <w:docDefaults>
    <w:rPrDefault>
      <w:rPr>
        <w:rFonts w:asciiTheme="minorHAnsi" w:cstheme="minorBidi" w:eastAsiaTheme="minorEastAsia" w:hAnsiTheme="minorHAnsi"/>
        <w:sz w:val="22"/>
        <w:szCs w:val="22"/>
      </w:rPr>
    </w:rPrDefault>
    <w:pPrDefault>
      <w:pPr>
        <w:spacing w:after="200" w:line="276" w:lineRule="auto"/>
      </w:pPr>
    </w:pPrDefault>
  </w:docDefaults>
  <w:style w:type="paragraph" w:default="1" w:styleId="Normal">
    <w:name w:val="Normal"/>
    <w:uiPriority w:val="0"/>
    <w:qFormat w:val="on"/>
  </w:style>
  <w:style w:type="paragraph" w:styleId="Heading1">
    <w:name w:val="Heading 1"/>
    <w:basedOn w:val="Normal"/>
    <w:next w:val="Normal"/>
    <w:link w:val="Heading1Char"/>
    <w:uiPriority w:val="9"/>
    <w:qFormat w:val="on"/>
    <w:pPr>
      <w:keepNext w:val="on"/>
      <w:keepLines w:val="on"/>
      <w:spacing w:before="480" w:after="0"/>
    </w:pPr>
    <w:rPr>
      <w:rFonts w:asciiTheme="majorHAnsi" w:cstheme="majorBidi" w:eastAsiaTheme="majorEastAsia" w:hAnsiTheme="majorHAnsi"/>
      <w:b/>
      <w:bCs/>
      <w:color w:val="2f5395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b/>
      <w:bCs/>
      <w:color w:val="4472c4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b/>
      <w:bCs/>
      <w:color w:val="4472c4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b/>
      <w:bCs/>
      <w:i/>
      <w:iCs/>
      <w:color w:val="4472c4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color w:val="1f3763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i/>
      <w:iCs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 w:val="on"/>
    <w:unhideWhenUsed w:val="on"/>
  </w:style>
  <w:style w:type="table" w:default="1" w:styleId="NormalTable">
    <w:name w:val="Normal Table"/>
    <w:uiPriority w:val="99"/>
    <w:semiHidden w:val="on"/>
    <w:unhideWhenUsed w:val="on"/>
    <w:qFormat w:val="on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 w:val="on"/>
    <w:unhideWhenUsed w:val="on"/>
  </w:style>
  <w:style w:type="paragraph" w:styleId="NoSpacing">
    <w:name w:val="No Spacing"/>
    <w:uiPriority w:val="1"/>
    <w:qFormat w:val="on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cstheme="majorBidi" w:eastAsiaTheme="majorEastAsia" w:hAnsiTheme="majorHAnsi"/>
      <w:b/>
      <w:bCs/>
      <w:color w:val="2f5395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cstheme="majorBidi" w:eastAsiaTheme="majorEastAsia" w:hAnsiTheme="majorHAnsi"/>
      <w:b/>
      <w:bCs/>
      <w:color w:val="4472c4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cstheme="majorBidi" w:eastAsiaTheme="majorEastAsia" w:hAnsiTheme="majorHAnsi"/>
      <w:b/>
      <w:bCs/>
      <w:color w:val="4472c4" w:themeColor="accent1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Theme="majorHAnsi" w:cstheme="majorBidi" w:eastAsiaTheme="majorEastAsia" w:hAnsiTheme="majorHAnsi"/>
      <w:b/>
      <w:bCs/>
      <w:i/>
      <w:iCs/>
      <w:color w:val="4472c4" w:themeColor="accent1"/>
    </w:rPr>
  </w:style>
  <w:style w:type="character" w:customStyle="1" w:styleId="Heading5Char">
    <w:name w:val="Heading 5 Char"/>
    <w:basedOn w:val="DefaultParagraphFont"/>
    <w:link w:val="Heading5"/>
    <w:uiPriority w:val="9"/>
    <w:rPr>
      <w:rFonts w:asciiTheme="majorHAnsi" w:cstheme="majorBidi" w:eastAsiaTheme="majorEastAsia" w:hAnsiTheme="majorHAnsi"/>
      <w:color w:val="1f3763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cstheme="majorBidi" w:eastAsiaTheme="majorEastAsia" w:hAnsiTheme="majorHAnsi"/>
      <w:i/>
      <w:iCs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cstheme="majorBidi" w:eastAsiaTheme="majorEastAsia" w:hAnsiTheme="majorHAns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rPr>
      <w:rFonts w:asciiTheme="majorHAnsi" w:cstheme="majorBidi" w:eastAsiaTheme="majorEastAsia" w:hAnsiTheme="majorHAns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Pr>
      <w:rFonts w:asciiTheme="majorHAnsi" w:cstheme="majorBidi" w:eastAsiaTheme="majorEastAsia" w:hAnsiTheme="majorHAnsi"/>
      <w:i/>
      <w:iCs/>
      <w:color w:val="404040" w:themeColor="text1" w:themeTint="bf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 w:val="on"/>
    <w:pPr>
      <w:pBdr>
        <w:bottom w:val="single" w:color="4472c4" w:themeColor="accent1" w:sz="8" w:space="4"/>
      </w:pBdr>
      <w:spacing w:after="300" w:line="240" w:lineRule="auto"/>
      <w:contextualSpacing w:val="on"/>
    </w:pPr>
    <w:rPr>
      <w:rFonts w:asciiTheme="majorHAnsi" w:cstheme="majorBidi" w:eastAsiaTheme="majorEastAsia" w:hAnsiTheme="majorHAnsi"/>
      <w:color w:val="333f4f" w:themeColor="text2" w:themeShade="bf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cstheme="majorBidi" w:eastAsiaTheme="majorEastAsia" w:hAnsiTheme="majorHAnsi"/>
      <w:color w:val="333f4f" w:themeColor="text2" w:themeShade="bf"/>
      <w:spacing w:val="5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 w:val="on"/>
    <w:pPr/>
    <w:rPr>
      <w:rFonts w:asciiTheme="majorHAnsi" w:cstheme="majorBidi" w:eastAsiaTheme="majorEastAsia" w:hAnsiTheme="majorHAnsi"/>
      <w:i/>
      <w:iCs/>
      <w:color w:val="4472c4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Pr>
      <w:rFonts w:asciiTheme="majorHAnsi" w:cstheme="majorBidi" w:eastAsiaTheme="majorEastAsia" w:hAnsiTheme="majorHAnsi"/>
      <w:i/>
      <w:iCs/>
      <w:color w:val="4472c4" w:themeColor="accent1"/>
      <w:spacing w:val="15"/>
      <w:sz w:val="24"/>
      <w:szCs w:val="24"/>
    </w:rPr>
  </w:style>
  <w:style w:type="character" w:styleId="SubtleEmphasis">
    <w:name w:val="Subtle Emphasis"/>
    <w:basedOn w:val="DefaultParagraphFont"/>
    <w:uiPriority w:val="19"/>
    <w:qFormat w:val="on"/>
    <w:rPr>
      <w:i/>
      <w:iCs/>
      <w:color w:val="808080" w:themeColor="text1" w:themeTint="7f"/>
    </w:rPr>
  </w:style>
  <w:style w:type="character" w:styleId="Emphasis">
    <w:name w:val="Emphasis"/>
    <w:basedOn w:val="DefaultParagraphFont"/>
    <w:uiPriority w:val="20"/>
    <w:qFormat w:val="on"/>
    <w:rPr>
      <w:i/>
      <w:iCs/>
    </w:rPr>
  </w:style>
  <w:style w:type="character" w:styleId="IntenseEmphasis">
    <w:name w:val="Intense Emphasis"/>
    <w:basedOn w:val="DefaultParagraphFont"/>
    <w:uiPriority w:val="21"/>
    <w:qFormat w:val="on"/>
    <w:rPr>
      <w:b/>
      <w:bCs/>
      <w:i/>
      <w:iCs/>
      <w:color w:val="4472c4" w:themeColor="accent1"/>
    </w:rPr>
  </w:style>
  <w:style w:type="character" w:styleId="Strong">
    <w:name w:val="Strong"/>
    <w:basedOn w:val="DefaultParagraphFont"/>
    <w:uiPriority w:val="22"/>
    <w:qFormat w:val="on"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 w:val="on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 w:val="on"/>
    <w:pPr>
      <w:pBdr>
        <w:bottom w:val="single" w:color="4472c4" w:themeColor="accent1" w:sz="4" w:space="4"/>
      </w:pBdr>
      <w:spacing w:before="200" w:after="280"/>
      <w:ind w:left="936" w:right="936"/>
    </w:pPr>
    <w:rPr>
      <w:b/>
      <w:bCs/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b/>
      <w:bCs/>
      <w:i/>
      <w:iCs/>
      <w:color w:val="4472c4" w:themeColor="accent1"/>
    </w:rPr>
  </w:style>
  <w:style w:type="character" w:styleId="SubtleReference">
    <w:name w:val="Subtle Reference"/>
    <w:basedOn w:val="DefaultParagraphFont"/>
    <w:uiPriority w:val="31"/>
    <w:qFormat w:val="on"/>
    <w:rPr>
      <w:smallCaps/>
      <w:color w:val="ed7d31" w:themeColor="accent2"/>
      <w:u w:val="single"/>
    </w:rPr>
  </w:style>
  <w:style w:type="character" w:styleId="IntenseReference">
    <w:name w:val="Intense Reference"/>
    <w:basedOn w:val="DefaultParagraphFont"/>
    <w:uiPriority w:val="32"/>
    <w:qFormat w:val="on"/>
    <w:rPr>
      <w:b/>
      <w:bCs/>
      <w:smallCaps/>
      <w:color w:val="ed7d31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 w:val="on"/>
    <w:rPr>
      <w:b/>
      <w:bCs/>
      <w:smallCaps/>
      <w:spacing w:val="5"/>
    </w:rPr>
  </w:style>
  <w:style w:type="paragraph" w:styleId="ListParagraph">
    <w:name w:val="List Paragraph"/>
    <w:basedOn w:val="Normal"/>
    <w:uiPriority w:val="34"/>
    <w:qFormat w:val="on"/>
    <w:pPr>
      <w:ind w:left="720"/>
      <w:contextualSpacing w:val="on"/>
    </w:pPr>
  </w:style>
  <w:style w:type="paragraph" w:styleId="Footnotetext">
    <w:name w:val="Footnote text"/>
    <w:basedOn w:val="Normal"/>
    <w:link w:val="FootnoteTextChar"/>
    <w:uiPriority w:val="99"/>
    <w:semiHidden w:val="on"/>
    <w:unhideWhenUsed w:val="on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 w:val="on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 w:val="on"/>
    <w:unhideWhenUsed w:val="on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 w:val="on"/>
    <w:unhideWhenUsed w:val="on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 w:val="on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 w:val="on"/>
    <w:unhideWhenUsed w:val="on"/>
    <w:rPr>
      <w:vertAlign w:val="superscript"/>
    </w:rPr>
  </w:style>
  <w:style w:type="character" w:styleId="Hyperlink">
    <w:name w:val="Hyperlink"/>
    <w:basedOn w:val="DefaultParagraphFont"/>
    <w:uiPriority w:val="99"/>
    <w:unhideWhenUsed w:val="on"/>
    <w:rPr>
      <w:color w:val="0563c1" w:themeColor="hyperlink"/>
      <w:u w:val="single"/>
    </w:rPr>
  </w:style>
  <w:style w:type="paragraph" w:styleId="PlainText">
    <w:name w:val="Plain Text"/>
    <w:basedOn w:val="Normal"/>
    <w:link w:val="PlainTextChar"/>
    <w:uiPriority w:val="99"/>
    <w:semiHidden w:val="on"/>
    <w:unhideWhenUsed w:val="on"/>
    <w:pPr>
      <w:spacing w:after="0" w:line="240" w:lineRule="auto"/>
    </w:pPr>
    <w:rPr>
      <w:rFonts w:ascii="Courier New" w:cs="Courier New" w:hAnsi="Courier New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Pr>
      <w:rFonts w:ascii="Courier New" w:cs="Courier New" w:hAnsi="Courier New"/>
      <w:sz w:val="21"/>
      <w:szCs w:val="21"/>
    </w:rPr>
  </w:style>
  <w:style w:type="paragraph" w:styleId="Header">
    <w:name w:val="Header"/>
    <w:basedOn w:val="Normal"/>
    <w:link w:val="HeaderChar"/>
    <w:uiPriority w:val="99"/>
    <w:unhideWhenUsed w:val="on"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 w:val="on"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Caption">
    <w:name w:val="Caption"/>
    <w:basedOn w:val="Normal"/>
    <w:next w:val="Normal"/>
    <w:uiPriority w:val="35"/>
    <w:unhideWhenUsed w:val="on"/>
    <w:qFormat w:val="on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theme" Target="theme/theme1.xml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2" Type="http://schemas.openxmlformats.org/officeDocument/2006/relationships/fontTable" Target="fontTable.xml"/><Relationship Id="rId20" Type="http://schemas.openxmlformats.org/officeDocument/2006/relationships/image" Target="media/image17.png"/><Relationship Id="rId21" Type="http://schemas.openxmlformats.org/officeDocument/2006/relationships/image" Target="media/image18.png"/><Relationship Id="rId22" Type="http://schemas.openxmlformats.org/officeDocument/2006/relationships/image" Target="media/image19.png"/><Relationship Id="rId23" Type="http://schemas.openxmlformats.org/officeDocument/2006/relationships/image" Target="media/image20.png"/><Relationship Id="rId24" Type="http://schemas.openxmlformats.org/officeDocument/2006/relationships/image" Target="media/image21.png"/><Relationship Id="rId25" Type="http://schemas.openxmlformats.org/officeDocument/2006/relationships/image" Target="media/image22.png"/><Relationship Id="rId26" Type="http://schemas.openxmlformats.org/officeDocument/2006/relationships/image" Target="media/image23.png"/><Relationship Id="rId27" Type="http://schemas.openxmlformats.org/officeDocument/2006/relationships/image" Target="media/image24.png"/><Relationship Id="rId28" Type="http://schemas.openxmlformats.org/officeDocument/2006/relationships/image" Target="media/image25.png"/><Relationship Id="rId29" Type="http://schemas.openxmlformats.org/officeDocument/2006/relationships/image" Target="media/image26.png"/><Relationship Id="rId3" Type="http://schemas.openxmlformats.org/officeDocument/2006/relationships/styles" Target="styles.xml"/><Relationship Id="rId30" Type="http://schemas.openxmlformats.org/officeDocument/2006/relationships/image" Target="media/image27.png"/><Relationship Id="rId31" Type="http://schemas.openxmlformats.org/officeDocument/2006/relationships/image" Target="media/image28.png"/><Relationship Id="rId32" Type="http://schemas.openxmlformats.org/officeDocument/2006/relationships/image" Target="media/image29.png"/><Relationship Id="rId33" Type="http://schemas.openxmlformats.org/officeDocument/2006/relationships/settings" Target="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Default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Arab" typeface="Times New Roman"/>
        <a:font script="Armn" typeface="Arial"/>
        <a:font script="Beng" typeface="Vrinda"/>
        <a:font script="Bopo" typeface="Microsoft JhengHei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ebr" typeface="Times New Roman"/>
        <a:font script="Knda" typeface="Tunga"/>
        <a:font script="Khmr" typeface="MoolBoran"/>
        <a:font script="Laoo" typeface="DokChampa"/>
        <a:font script="Mlym" typeface="Kartika"/>
        <a:font script="Mong" typeface="Mongolian Baiti"/>
        <a:font script="Mymr" typeface="Myanmar Text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Angsana New"/>
        <a:font script="Tibt" typeface="Microsoft Himalaya"/>
        <a:font script="Cans" typeface="Euphemia"/>
        <a:font script="Yiii" typeface="Microsoft Yi Baiti"/>
        <a:font script="Osma" typeface="Ebrima"/>
        <a:font script="Tale" typeface="Microsoft Tai Le"/>
        <a:font script="Bugi" typeface="Leelawadee UI"/>
        <a:font script="Talu" typeface="Microsoft New Tai Lue"/>
        <a:font script="Tfng" typeface="Ebrima"/>
        <a:font script="Hans" typeface="等线 Light"/>
        <a:font script="Hant" typeface="新細明體"/>
        <a:font script="Java" typeface="Javanese Text"/>
        <a:font script="Nkoo" typeface="Ebrima"/>
        <a:font script="Phag" typeface="Phagspa"/>
        <a:font script="Syre" typeface="Estrangelo Edessa"/>
        <a:font script="Syrj" typeface="Estrangelo Edessa"/>
        <a:font script="Syrn" typeface="Estrangelo Edessa"/>
        <a:font script="Jpan" typeface="游ゴシック Light"/>
        <a:font script="Olck" typeface="Nirmala UI"/>
        <a:font script="Lisu" typeface="Segoe UI"/>
        <a:font script="Sora" typeface="Nirmala UI"/>
      </a:majorFont>
      <a:minorFont>
        <a:latin typeface="Calibri" panose="020F0502020204030204"/>
        <a:ea typeface=""/>
        <a:cs typeface=""/>
        <a:font script="Arab" typeface="Arial"/>
        <a:font script="Armn" typeface="Arial"/>
        <a:font script="Beng" typeface="Vrinda"/>
        <a:font script="Bopo" typeface="Microsoft JhengHei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ebr" typeface="Arial"/>
        <a:font script="Knda" typeface="Tunga"/>
        <a:font script="Khmr" typeface="DaunPenh"/>
        <a:font script="Laoo" typeface="DokChampa"/>
        <a:font script="Mlym" typeface="Kartika"/>
        <a:font script="Mong" typeface="Mongolian Baiti"/>
        <a:font script="Mymr" typeface="Myanmar Text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Cordia New"/>
        <a:font script="Tibt" typeface="Microsoft Himalaya"/>
        <a:font script="Cans" typeface="Euphemia"/>
        <a:font script="Yiii" typeface="Microsoft Yi Baiti"/>
        <a:font script="Osma" typeface="Ebrima"/>
        <a:font script="Tale" typeface="Microsoft Tai Le"/>
        <a:font script="Bugi" typeface="Leelawadee UI"/>
        <a:font script="Talu" typeface="Microsoft New Tai Lue"/>
        <a:font script="Tfng" typeface="Ebrima"/>
        <a:font script="Hans" typeface="等线"/>
        <a:font script="Hant" typeface="新細明體"/>
        <a:font script="Java" typeface="Javanese Text"/>
        <a:font script="Nkoo" typeface="Ebrima"/>
        <a:font script="Phag" typeface="Phagspa"/>
        <a:font script="Syre" typeface="Estrangelo Edessa"/>
        <a:font script="Syrj" typeface="Estrangelo Edessa"/>
        <a:font script="Syrn" typeface="Estrangelo Edessa"/>
        <a:font script="Jpan" typeface="游ゴシック"/>
        <a:font script="Olck" typeface="Nirmala UI"/>
        <a:font script="Lisu" typeface="Segoe UI"/>
        <a:font script="Sora" typeface="Nirmala U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Microsoft Office Word</Application>
  <AppVersion>14.000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Stephin Sebastian</dc:creator>
  <cp:lastModifiedBy>Stephin Sebastian</cp:lastModifiedBy>
</cp:coreProperties>
</file>