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3023FC" w14:textId="713653FA" w:rsidR="008C772C" w:rsidRDefault="008845D7" w:rsidP="00CC3D89">
      <w:pPr>
        <w:spacing w:after="100" w:afterAutospacing="1" w:line="276" w:lineRule="auto"/>
        <w:ind w:left="540" w:hanging="540"/>
        <w:rPr>
          <w:i/>
        </w:rPr>
      </w:pPr>
      <w:r>
        <w:rPr>
          <w:b/>
        </w:rPr>
        <w:t>3.5 )</w:t>
      </w:r>
      <w:r>
        <w:t xml:space="preserve"> </w:t>
      </w:r>
      <w:r w:rsidR="00CC3D89">
        <w:rPr>
          <w:i/>
        </w:rPr>
        <w:t>Propose a three-level cascade where when one level rejects, the ne</w:t>
      </w:r>
      <w:r w:rsidR="00BA31E9">
        <w:rPr>
          <w:i/>
        </w:rPr>
        <w:t>x</w:t>
      </w:r>
      <w:r w:rsidR="00CC3D89">
        <w:rPr>
          <w:i/>
        </w:rPr>
        <w:t xml:space="preserve">t one is used as in Equation 3.10. How can we fix the </w:t>
      </w:r>
      <m:oMath>
        <m:r>
          <w:rPr>
            <w:rFonts w:ascii="Cambria Math" w:hAnsi="Cambria Math"/>
          </w:rPr>
          <m:t>λ</m:t>
        </m:r>
      </m:oMath>
      <w:r w:rsidR="00CC3D89">
        <w:rPr>
          <w:i/>
        </w:rPr>
        <w:t xml:space="preserve"> on different levels?</w:t>
      </w:r>
    </w:p>
    <w:p w14:paraId="3E7B2C53" w14:textId="166047F1" w:rsidR="00CF63E3" w:rsidRDefault="00AC53CA" w:rsidP="008845D7">
      <w:pPr>
        <w:spacing w:after="100" w:afterAutospacing="1" w:line="276" w:lineRule="auto"/>
      </w:pPr>
      <w:r>
        <w:t>For complex decisions, such as misclassifications, questionable outliers, or missing portions of data, a cascade or piece-wise approach can be used classify the data.  Using multiple classes, an algorithm can utilize an additional action, compared to a binary classification, to reject or doubt when deciding the data classification.</w:t>
      </w:r>
    </w:p>
    <w:p w14:paraId="06B4AF96" w14:textId="48443FDF" w:rsidR="00CF63E3" w:rsidRDefault="00E503E1" w:rsidP="008845D7">
      <w:pPr>
        <w:spacing w:after="100" w:afterAutospacing="1" w:line="276" w:lineRule="auto"/>
      </w:pPr>
      <w:r>
        <w:t>Let’s assume we ha</w:t>
      </w:r>
      <w:r w:rsidR="005C2F5C">
        <w:t xml:space="preserve">ve </w:t>
      </w:r>
      <m:oMath>
        <m:r>
          <w:rPr>
            <w:rFonts w:ascii="Cambria Math" w:hAnsi="Cambria Math"/>
          </w:rPr>
          <m:t>K</m:t>
        </m:r>
      </m:oMath>
      <w:r w:rsidR="005C2F5C">
        <w:t xml:space="preserve"> number of classes and </w:t>
      </w:r>
      <m:oMath>
        <m:r>
          <w:rPr>
            <w:rFonts w:ascii="Cambria Math" w:hAnsi="Cambria Math"/>
          </w:rPr>
          <m:t>i</m:t>
        </m:r>
      </m:oMath>
      <w:r w:rsidR="005C2F5C">
        <w:t xml:space="preserve"> represents the </w:t>
      </w:r>
      <m:oMath>
        <m:sSup>
          <m:sSupPr>
            <m:ctrlPr>
              <w:rPr>
                <w:rFonts w:ascii="Cambria Math" w:hAnsi="Cambria Math"/>
                <w:i/>
              </w:rPr>
            </m:ctrlPr>
          </m:sSupPr>
          <m:e>
            <m:r>
              <w:rPr>
                <w:rFonts w:ascii="Cambria Math" w:hAnsi="Cambria Math"/>
              </w:rPr>
              <m:t>i</m:t>
            </m:r>
          </m:e>
          <m:sup>
            <m:r>
              <m:rPr>
                <m:sty m:val="p"/>
              </m:rPr>
              <w:rPr>
                <w:rFonts w:ascii="Cambria Math" w:hAnsi="Cambria Math"/>
              </w:rPr>
              <m:t>th</m:t>
            </m:r>
          </m:sup>
        </m:sSup>
      </m:oMath>
      <w:r w:rsidR="005C2F5C">
        <w:t xml:space="preserve"> class of </w:t>
      </w:r>
      <m:oMath>
        <m:r>
          <w:rPr>
            <w:rFonts w:ascii="Cambria Math" w:hAnsi="Cambria Math"/>
          </w:rPr>
          <m:t>C</m:t>
        </m:r>
      </m:oMath>
      <w:r w:rsidR="005C2F5C">
        <w:t xml:space="preserve">. </w:t>
      </w:r>
      <w:r w:rsidR="00CD1602">
        <w:t xml:space="preserve">The expected risk of taking an action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CD1602">
        <w:t xml:space="preserve"> during the classification process for data </w:t>
      </w:r>
      <m:oMath>
        <m:r>
          <m:rPr>
            <m:sty m:val="bi"/>
          </m:rPr>
          <w:rPr>
            <w:rFonts w:ascii="Cambria Math" w:hAnsi="Cambria Math"/>
          </w:rPr>
          <m:t>x</m:t>
        </m:r>
      </m:oMath>
      <w:r w:rsidR="00682BB8">
        <w:t xml:space="preserve"> can be obtained by the following equation:</w:t>
      </w:r>
    </w:p>
    <w:p w14:paraId="489AFDDA" w14:textId="128C9424" w:rsidR="00682BB8" w:rsidRPr="001804B0" w:rsidRDefault="00682BB8" w:rsidP="008845D7">
      <w:pPr>
        <w:spacing w:after="100" w:afterAutospacing="1" w:line="276" w:lineRule="auto"/>
      </w:pPr>
      <m:oMathPara>
        <m:oMath>
          <m:r>
            <w:rPr>
              <w:rFonts w:ascii="Cambria Math" w:hAnsi="Cambria Math"/>
            </w:rPr>
            <m:t>R</m:t>
          </m:r>
          <m:d>
            <m:dPr>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e>
          </m:d>
          <m:r>
            <m:rPr>
              <m:sty m:val="bi"/>
            </m:rPr>
            <w:rPr>
              <w:rFonts w:ascii="Cambria Math" w:hAnsi="Cambria Math"/>
            </w:rPr>
            <m:t>x</m:t>
          </m:r>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λ</m:t>
                  </m:r>
                </m:e>
                <m:sub>
                  <m:r>
                    <w:rPr>
                      <w:rFonts w:ascii="Cambria Math" w:hAnsi="Cambria Math"/>
                    </w:rPr>
                    <m:t>ik</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e>
                <m:e>
                  <m:r>
                    <m:rPr>
                      <m:sty m:val="bi"/>
                    </m:rPr>
                    <w:rPr>
                      <w:rFonts w:ascii="Cambria Math" w:hAnsi="Cambria Math"/>
                    </w:rPr>
                    <m:t>x</m:t>
                  </m:r>
                </m:e>
              </m:d>
              <m:r>
                <w:rPr>
                  <w:rFonts w:ascii="Cambria Math" w:hAnsi="Cambria Math"/>
                </w:rPr>
                <m:t xml:space="preserve"> </m:t>
              </m:r>
            </m:e>
          </m:nary>
        </m:oMath>
      </m:oMathPara>
    </w:p>
    <w:p w14:paraId="0A9040CE" w14:textId="7B409B73" w:rsidR="001804B0" w:rsidRPr="001804B0" w:rsidRDefault="001804B0" w:rsidP="008845D7">
      <w:pPr>
        <w:spacing w:after="100" w:afterAutospacing="1" w:line="276" w:lineRule="auto"/>
        <w:rPr>
          <w:vertAlign w:val="subscript"/>
        </w:rPr>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ik</m:t>
            </m:r>
          </m:sub>
        </m:sSub>
      </m:oMath>
      <w:r>
        <w:t xml:space="preserve"> represents the loss incurred by performing action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t>.</w:t>
      </w:r>
      <w:r w:rsidR="006A6E39">
        <w:t xml:space="preserve"> We wish to implement a three-level classification scheme where the level either accepts the data or rejects the data to the next class. This is can be thought as analogous to an </w:t>
      </w:r>
      <w:r w:rsidR="006A6E39">
        <w:rPr>
          <w:i/>
        </w:rPr>
        <w:t xml:space="preserve">else </w:t>
      </w:r>
      <w:r w:rsidR="006A6E39" w:rsidRPr="00CF63E3">
        <w:rPr>
          <w:i/>
        </w:rPr>
        <w:t>if</w:t>
      </w:r>
      <w:r w:rsidR="006A6E39" w:rsidRPr="00CF63E3">
        <w:t>, or</w:t>
      </w:r>
      <w:r w:rsidR="006A6E39">
        <w:t xml:space="preserve"> </w:t>
      </w:r>
      <w:r w:rsidR="006A6E39">
        <w:rPr>
          <w:i/>
        </w:rPr>
        <w:t>elif</w:t>
      </w:r>
      <w:r w:rsidR="006A6E39">
        <w:t xml:space="preserve">  in Python, statement in computer programming, where each </w:t>
      </w:r>
      <w:r w:rsidR="006A6E39">
        <w:rPr>
          <w:i/>
        </w:rPr>
        <w:t>elif</w:t>
      </w:r>
      <w:r w:rsidR="006A6E39">
        <w:t>, or classification level in our scenario, introduces a new statement that if true performs action and ends the loop.</w:t>
      </w:r>
    </w:p>
    <w:p w14:paraId="0BA04460" w14:textId="27FA141E" w:rsidR="00E503E1" w:rsidRPr="00CF63E3" w:rsidRDefault="002E7D5D" w:rsidP="008845D7">
      <w:pPr>
        <w:spacing w:after="100" w:afterAutospacing="1" w:line="276" w:lineRule="auto"/>
      </w:pPr>
      <m:oMathPara>
        <m:oMath>
          <m:sSub>
            <m:sSubPr>
              <m:ctrlPr>
                <w:rPr>
                  <w:rFonts w:ascii="Cambria Math" w:hAnsi="Cambria Math"/>
                  <w:i/>
                </w:rPr>
              </m:ctrlPr>
            </m:sSubPr>
            <m:e>
              <m:r>
                <w:rPr>
                  <w:rFonts w:ascii="Cambria Math" w:hAnsi="Cambria Math"/>
                </w:rPr>
                <m:t>λ</m:t>
              </m:r>
            </m:e>
            <m:sub>
              <m:r>
                <w:rPr>
                  <w:rFonts w:ascii="Cambria Math" w:hAnsi="Cambria Math"/>
                </w:rPr>
                <m:t>ik</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0   </m:t>
                  </m:r>
                  <m:r>
                    <m:rPr>
                      <m:sty m:val="p"/>
                    </m:rPr>
                    <w:rPr>
                      <w:rFonts w:ascii="Cambria Math" w:hAnsi="Cambria Math"/>
                    </w:rPr>
                    <m:t xml:space="preserve">if   </m:t>
                  </m:r>
                  <m:d>
                    <m:dPr>
                      <m:ctrlPr>
                        <w:rPr>
                          <w:rFonts w:ascii="Cambria Math" w:hAnsi="Cambria Math"/>
                          <w:i/>
                        </w:rPr>
                      </m:ctrlPr>
                    </m:dPr>
                    <m:e>
                      <m:r>
                        <w:rPr>
                          <w:rFonts w:ascii="Cambria Math" w:hAnsi="Cambria Math"/>
                        </w:rPr>
                        <m:t>i=k</m:t>
                      </m:r>
                    </m:e>
                  </m:d>
                  <m:r>
                    <m:rPr>
                      <m:sty m:val="p"/>
                    </m:rPr>
                    <w:rPr>
                      <w:rFonts w:ascii="Cambria Math" w:hAnsi="Cambria Math"/>
                    </w:rPr>
                    <m:t xml:space="preserve">   </m:t>
                  </m:r>
                  <m:r>
                    <m:rPr>
                      <m:sty m:val="p"/>
                    </m:rPr>
                    <w:rPr>
                      <w:rFonts w:ascii="Cambria Math" w:hAnsi="Cambria Math"/>
                    </w:rPr>
                    <m:t xml:space="preserve">           </m:t>
                  </m:r>
                  <m:r>
                    <m:rPr>
                      <m:sty m:val="p"/>
                    </m:rPr>
                    <w:rPr>
                      <w:rFonts w:ascii="Cambria Math" w:hAnsi="Cambria Math"/>
                    </w:rPr>
                    <m:t xml:space="preserve">  </m:t>
                  </m:r>
                  <m:r>
                    <m:rPr>
                      <m:sty m:val="p"/>
                    </m:rPr>
                    <w:rPr>
                      <w:rFonts w:ascii="Cambria Math" w:hAnsi="Cambria Math"/>
                    </w:rPr>
                    <m:t xml:space="preserve">          </m:t>
                  </m:r>
                  <m:r>
                    <m:rPr>
                      <m:sty m:val="p"/>
                    </m:rPr>
                    <w:rPr>
                      <w:rFonts w:ascii="Cambria Math" w:hAnsi="Cambria Math"/>
                    </w:rPr>
                    <m:t xml:space="preserve"> </m:t>
                  </m:r>
                </m:e>
                <m:e>
                  <m:r>
                    <w:rPr>
                      <w:rFonts w:ascii="Cambria Math" w:hAnsi="Cambria Math"/>
                    </w:rPr>
                    <m:t xml:space="preserve">λ   </m:t>
                  </m:r>
                  <m:r>
                    <m:rPr>
                      <m:sty m:val="p"/>
                    </m:rPr>
                    <w:rPr>
                      <w:rFonts w:ascii="Cambria Math" w:hAnsi="Cambria Math"/>
                    </w:rPr>
                    <m:t xml:space="preserve">if  </m:t>
                  </m:r>
                  <m:d>
                    <m:dPr>
                      <m:ctrlPr>
                        <w:rPr>
                          <w:rFonts w:ascii="Cambria Math" w:hAnsi="Cambria Math"/>
                          <w:i/>
                        </w:rPr>
                      </m:ctrlPr>
                    </m:dPr>
                    <m:e>
                      <m:r>
                        <w:rPr>
                          <w:rFonts w:ascii="Cambria Math" w:hAnsi="Cambria Math"/>
                        </w:rPr>
                        <m:t>i</m:t>
                      </m:r>
                      <m:r>
                        <w:rPr>
                          <w:rFonts w:ascii="Cambria Math" w:hAnsi="Cambria Math" w:hint="eastAsia"/>
                        </w:rPr>
                        <m:t>≠</m:t>
                      </m:r>
                      <m:r>
                        <w:rPr>
                          <w:rFonts w:ascii="Cambria Math" w:hAnsi="Cambria Math"/>
                        </w:rPr>
                        <m:t>k</m:t>
                      </m:r>
                      <m:r>
                        <w:rPr>
                          <w:rFonts w:ascii="Cambria Math" w:hAnsi="Cambria Math"/>
                        </w:rPr>
                        <m:t xml:space="preserve"> </m:t>
                      </m:r>
                      <m:r>
                        <m:rPr>
                          <m:sty m:val="p"/>
                        </m:rPr>
                        <w:rPr>
                          <w:rFonts w:ascii="Cambria Math" w:hAnsi="Cambria Math"/>
                        </w:rPr>
                        <m:t xml:space="preserve">and </m:t>
                      </m:r>
                      <m:r>
                        <w:rPr>
                          <w:rFonts w:ascii="Cambria Math" w:hAnsi="Cambria Math"/>
                        </w:rPr>
                        <m:t>i=K+1</m:t>
                      </m:r>
                    </m:e>
                  </m:d>
                </m:e>
                <m:e>
                  <m:r>
                    <w:rPr>
                      <w:rFonts w:ascii="Cambria Math" w:hAnsi="Cambria Math"/>
                    </w:rPr>
                    <m:t xml:space="preserve">1   </m:t>
                  </m:r>
                  <m:r>
                    <m:rPr>
                      <m:sty m:val="p"/>
                    </m:rPr>
                    <w:rPr>
                      <w:rFonts w:ascii="Cambria Math" w:hAnsi="Cambria Math"/>
                    </w:rPr>
                    <m:t xml:space="preserve">if   </m:t>
                  </m:r>
                  <m:d>
                    <m:dPr>
                      <m:ctrlPr>
                        <w:rPr>
                          <w:rFonts w:ascii="Cambria Math" w:hAnsi="Cambria Math"/>
                          <w:i/>
                        </w:rPr>
                      </m:ctrlPr>
                    </m:dPr>
                    <m:e>
                      <m:r>
                        <w:rPr>
                          <w:rFonts w:ascii="Cambria Math" w:hAnsi="Cambria Math"/>
                        </w:rPr>
                        <m:t>i</m:t>
                      </m:r>
                      <m:r>
                        <w:rPr>
                          <w:rFonts w:ascii="Cambria Math" w:hAnsi="Cambria Math" w:hint="eastAsia"/>
                        </w:rPr>
                        <m:t>≠</m:t>
                      </m:r>
                      <m:r>
                        <w:rPr>
                          <w:rFonts w:ascii="Cambria Math" w:hAnsi="Cambria Math"/>
                        </w:rPr>
                        <m:t xml:space="preserve">k </m:t>
                      </m:r>
                      <m:r>
                        <m:rPr>
                          <m:sty m:val="p"/>
                        </m:rPr>
                        <w:rPr>
                          <w:rFonts w:ascii="Cambria Math" w:hAnsi="Cambria Math"/>
                        </w:rPr>
                        <m:t xml:space="preserve">and </m:t>
                      </m:r>
                      <m:r>
                        <w:rPr>
                          <w:rFonts w:ascii="Cambria Math" w:hAnsi="Cambria Math"/>
                        </w:rPr>
                        <m:t>i</m:t>
                      </m:r>
                      <m:r>
                        <w:rPr>
                          <w:rFonts w:ascii="Cambria Math" w:hAnsi="Cambria Math" w:hint="eastAsia"/>
                        </w:rPr>
                        <m:t>≠</m:t>
                      </m:r>
                      <m:r>
                        <w:rPr>
                          <w:rFonts w:ascii="Cambria Math" w:hAnsi="Cambria Math"/>
                        </w:rPr>
                        <m:t>K+1</m:t>
                      </m:r>
                    </m:e>
                  </m:d>
                </m:e>
              </m:eqArr>
              <m:r>
                <w:rPr>
                  <w:rFonts w:ascii="Cambria Math" w:hAnsi="Cambria Math"/>
                </w:rPr>
                <m:t xml:space="preserve"> </m:t>
              </m:r>
            </m:e>
          </m:d>
        </m:oMath>
      </m:oMathPara>
    </w:p>
    <w:p w14:paraId="2FC30769" w14:textId="7AE45390" w:rsidR="003331B2" w:rsidRPr="00B30DB7" w:rsidRDefault="00391C96" w:rsidP="008845D7">
      <w:pPr>
        <w:spacing w:after="100" w:afterAutospacing="1" w:line="276" w:lineRule="auto"/>
      </w:pPr>
      <w:r>
        <w:t>Similar to that of Eq. 3.10 in textbook</w:t>
      </w:r>
      <w:r>
        <w:rPr>
          <w:rStyle w:val="FootnoteReference"/>
        </w:rPr>
        <w:footnoteReference w:id="1"/>
      </w:r>
      <w:r w:rsidR="00B30DB7">
        <w:t xml:space="preserve"> where </w:t>
      </w:r>
      <m:oMath>
        <m:r>
          <w:rPr>
            <w:rFonts w:ascii="Cambria Math" w:hAnsi="Cambria Math"/>
          </w:rPr>
          <m:t>0&lt;λ&lt;1</m:t>
        </m:r>
      </m:oMath>
      <w:r w:rsidR="00B30DB7">
        <w:t xml:space="preserve"> represents the loss from </w:t>
      </w:r>
      <m:oMath>
        <m:sSub>
          <m:sSubPr>
            <m:ctrlPr>
              <w:rPr>
                <w:rFonts w:ascii="Cambria Math" w:hAnsi="Cambria Math"/>
                <w:i/>
              </w:rPr>
            </m:ctrlPr>
          </m:sSubPr>
          <m:e>
            <m:r>
              <w:rPr>
                <w:rFonts w:ascii="Cambria Math" w:hAnsi="Cambria Math"/>
              </w:rPr>
              <m:t>α</m:t>
            </m:r>
          </m:e>
          <m:sub>
            <m:r>
              <w:rPr>
                <w:rFonts w:ascii="Cambria Math" w:hAnsi="Cambria Math"/>
              </w:rPr>
              <m:t>K+1</m:t>
            </m:r>
          </m:sub>
        </m:sSub>
      </m:oMath>
      <w:r w:rsidR="00B30DB7">
        <w:t xml:space="preserve"> action. </w:t>
      </w:r>
      <w:r w:rsidR="002E7D5D">
        <w:t xml:space="preserve">This proposed method provides an example three-level cascade, where one level rejects and the following level is used. </w:t>
      </w:r>
      <w:bookmarkStart w:id="0" w:name="_GoBack"/>
      <w:bookmarkEnd w:id="0"/>
      <w:r w:rsidR="002E7D5D">
        <w:t xml:space="preserve"> </w:t>
      </w:r>
    </w:p>
    <w:p w14:paraId="54A39A30" w14:textId="235EFE67" w:rsidR="00EB2D1E" w:rsidRDefault="00EB2D1E">
      <w:pPr>
        <w:rPr>
          <w:b/>
        </w:rPr>
      </w:pPr>
      <w:r>
        <w:rPr>
          <w:b/>
        </w:rPr>
        <w:br w:type="page"/>
      </w:r>
    </w:p>
    <w:p w14:paraId="0E527C87" w14:textId="2D816B80" w:rsidR="00EB2D1E" w:rsidRDefault="00EB2D1E" w:rsidP="00013C9A">
      <w:pPr>
        <w:spacing w:after="100" w:afterAutospacing="1" w:line="276" w:lineRule="auto"/>
        <w:ind w:left="540" w:hanging="540"/>
        <w:rPr>
          <w:i/>
        </w:rPr>
      </w:pPr>
      <w:r>
        <w:rPr>
          <w:b/>
        </w:rPr>
        <w:lastRenderedPageBreak/>
        <w:t>3.9 )</w:t>
      </w:r>
      <w:r w:rsidR="00BA31E9">
        <w:rPr>
          <w:b/>
        </w:rPr>
        <w:t xml:space="preserve"> </w:t>
      </w:r>
      <w:r w:rsidR="00BA31E9">
        <w:rPr>
          <w:i/>
        </w:rPr>
        <w:t xml:space="preserve">Show that as we move an item from the </w:t>
      </w:r>
      <w:r w:rsidR="00E211A9">
        <w:rPr>
          <w:i/>
        </w:rPr>
        <w:t xml:space="preserve">antecedent </w:t>
      </w:r>
      <w:r w:rsidR="00BA31E9">
        <w:rPr>
          <w:i/>
        </w:rPr>
        <w:t xml:space="preserve">to the </w:t>
      </w:r>
      <w:r w:rsidR="00E211A9">
        <w:rPr>
          <w:i/>
        </w:rPr>
        <w:t>consequent</w:t>
      </w:r>
      <w:r w:rsidR="00BA31E9">
        <w:rPr>
          <w:i/>
        </w:rPr>
        <w:t>, confidence can never increase:</w:t>
      </w:r>
      <w:r w:rsidR="00013C9A">
        <w:rPr>
          <w:i/>
        </w:rPr>
        <w:tab/>
      </w:r>
      <w:r w:rsidR="00BA31E9">
        <w:rPr>
          <w:i/>
        </w:rPr>
        <w:t xml:space="preserve"> confidence</w:t>
      </w:r>
      <m:oMath>
        <m:d>
          <m:dPr>
            <m:ctrlPr>
              <w:rPr>
                <w:rFonts w:ascii="Cambria Math" w:hAnsi="Cambria Math"/>
                <w:i/>
              </w:rPr>
            </m:ctrlPr>
          </m:dPr>
          <m:e>
            <m:r>
              <w:rPr>
                <w:rFonts w:ascii="Cambria Math" w:hAnsi="Cambria Math"/>
              </w:rPr>
              <m:t>ABC</m:t>
            </m:r>
            <m:r>
              <w:rPr>
                <w:rFonts w:ascii="Cambria Math" w:hAnsi="Cambria Math" w:hint="eastAsia"/>
              </w:rPr>
              <m:t>→</m:t>
            </m:r>
            <m:r>
              <w:rPr>
                <w:rFonts w:ascii="Cambria Math" w:hAnsi="Cambria Math"/>
              </w:rPr>
              <m:t>D</m:t>
            </m:r>
          </m:e>
        </m:d>
        <m:r>
          <w:rPr>
            <w:rFonts w:ascii="Cambria Math" w:hAnsi="Cambria Math"/>
          </w:rPr>
          <m:t>≥confidence</m:t>
        </m:r>
        <m:d>
          <m:dPr>
            <m:ctrlPr>
              <w:rPr>
                <w:rFonts w:ascii="Cambria Math" w:hAnsi="Cambria Math"/>
                <w:i/>
              </w:rPr>
            </m:ctrlPr>
          </m:dPr>
          <m:e>
            <m:r>
              <w:rPr>
                <w:rFonts w:ascii="Cambria Math" w:hAnsi="Cambria Math"/>
              </w:rPr>
              <m:t>AB</m:t>
            </m:r>
            <m:r>
              <w:rPr>
                <w:rFonts w:ascii="Cambria Math" w:hAnsi="Cambria Math" w:hint="eastAsia"/>
              </w:rPr>
              <m:t>→</m:t>
            </m:r>
            <m:r>
              <w:rPr>
                <w:rFonts w:ascii="Cambria Math" w:hAnsi="Cambria Math" w:cs="Cambria Math"/>
              </w:rPr>
              <m:t>C</m:t>
            </m:r>
            <m:r>
              <w:rPr>
                <w:rFonts w:ascii="Cambria Math" w:hAnsi="Cambria Math"/>
              </w:rPr>
              <m:t>D</m:t>
            </m:r>
          </m:e>
        </m:d>
      </m:oMath>
      <w:r w:rsidR="00BA31E9">
        <w:rPr>
          <w:i/>
        </w:rPr>
        <w:t xml:space="preserve"> </w:t>
      </w:r>
      <w:r w:rsidR="00013C9A">
        <w:rPr>
          <w:i/>
        </w:rPr>
        <w:t>.</w:t>
      </w:r>
    </w:p>
    <w:p w14:paraId="53DA064B" w14:textId="2C5E2B71" w:rsidR="00013C9A" w:rsidRDefault="002B4C96" w:rsidP="002B4C96">
      <w:pPr>
        <w:spacing w:after="100" w:afterAutospacing="1" w:line="276" w:lineRule="auto"/>
      </w:pPr>
      <w:r>
        <w:t xml:space="preserve">An association rule is an implication of the form </w:t>
      </w:r>
      <m:oMath>
        <m:r>
          <w:rPr>
            <w:rFonts w:ascii="Cambria Math" w:hAnsi="Cambria Math"/>
          </w:rPr>
          <m:t>X</m:t>
        </m:r>
        <m:r>
          <w:rPr>
            <w:rFonts w:ascii="Cambria Math" w:hAnsi="Cambria Math" w:hint="eastAsia"/>
          </w:rPr>
          <m:t>→</m:t>
        </m:r>
        <m:r>
          <w:rPr>
            <w:rFonts w:ascii="Cambria Math" w:hAnsi="Cambria Math"/>
          </w:rPr>
          <m:t>Y</m:t>
        </m:r>
      </m:oMath>
      <w:r>
        <w:t xml:space="preserve"> where </w:t>
      </w:r>
      <m:oMath>
        <m:r>
          <w:rPr>
            <w:rFonts w:ascii="Cambria Math" w:hAnsi="Cambria Math"/>
          </w:rPr>
          <m:t>X</m:t>
        </m:r>
      </m:oMath>
      <w:r>
        <w:t xml:space="preserve"> is the antecedent and </w:t>
      </w:r>
      <m:oMath>
        <m:r>
          <w:rPr>
            <w:rFonts w:ascii="Cambria Math" w:hAnsi="Cambria Math"/>
          </w:rPr>
          <m:t>Y</m:t>
        </m:r>
      </m:oMath>
      <w:r>
        <w:t xml:space="preserve"> is the consequent of the rule. </w:t>
      </w:r>
      <w:r w:rsidR="007363E7">
        <w:t xml:space="preserve">There are multiple measures of calculated for learning associations, but conventional two measures are primarily used: </w:t>
      </w:r>
      <w:r w:rsidR="007363E7">
        <w:rPr>
          <w:i/>
        </w:rPr>
        <w:t>support</w:t>
      </w:r>
      <w:r w:rsidR="007363E7">
        <w:t xml:space="preserve"> and </w:t>
      </w:r>
      <w:r w:rsidR="007363E7">
        <w:rPr>
          <w:i/>
        </w:rPr>
        <w:t>confidence</w:t>
      </w:r>
      <w:r w:rsidR="007363E7">
        <w:t xml:space="preserve">. </w:t>
      </w:r>
      <w:r w:rsidR="000F3503">
        <w:t xml:space="preserve">Generally speaking, the support measure shows the statistical significance of the rule and confidence shows the strength of the rule. </w:t>
      </w:r>
      <w:r w:rsidR="00611CAC">
        <w:t xml:space="preserve"> </w:t>
      </w:r>
    </w:p>
    <w:p w14:paraId="26628391" w14:textId="086BA0C1" w:rsidR="00611CAC" w:rsidRDefault="00611CAC" w:rsidP="002B4C96">
      <w:pPr>
        <w:spacing w:after="100" w:afterAutospacing="1" w:line="276" w:lineRule="auto"/>
      </w:pPr>
      <w:r>
        <w:t xml:space="preserve">The confidence of the association rule </w:t>
      </w:r>
      <m:oMath>
        <m:r>
          <w:rPr>
            <w:rFonts w:ascii="Cambria Math" w:hAnsi="Cambria Math"/>
          </w:rPr>
          <m:t>X</m:t>
        </m:r>
        <m:r>
          <w:rPr>
            <w:rFonts w:ascii="Cambria Math" w:hAnsi="Cambria Math" w:hint="eastAsia"/>
          </w:rPr>
          <m:t>→</m:t>
        </m:r>
        <m:r>
          <w:rPr>
            <w:rFonts w:ascii="Cambria Math" w:hAnsi="Cambria Math"/>
          </w:rPr>
          <m:t>Y</m:t>
        </m:r>
      </m:oMath>
      <w:r>
        <w:t>:</w:t>
      </w:r>
    </w:p>
    <w:p w14:paraId="13283450" w14:textId="61F43413" w:rsidR="00611CAC" w:rsidRPr="00C76BDE" w:rsidRDefault="00611CAC" w:rsidP="002B4C96">
      <w:pPr>
        <w:spacing w:after="100" w:afterAutospacing="1" w:line="276" w:lineRule="auto"/>
      </w:pPr>
      <m:oMathPara>
        <m:oMath>
          <m:r>
            <w:rPr>
              <w:rFonts w:ascii="Cambria Math" w:hAnsi="Cambria Math"/>
            </w:rPr>
            <m:t>c</m:t>
          </m:r>
          <m:d>
            <m:dPr>
              <m:ctrlPr>
                <w:rPr>
                  <w:rFonts w:ascii="Cambria Math" w:hAnsi="Cambria Math"/>
                  <w:i/>
                </w:rPr>
              </m:ctrlPr>
            </m:dPr>
            <m:e>
              <m:r>
                <w:rPr>
                  <w:rFonts w:ascii="Cambria Math" w:hAnsi="Cambria Math"/>
                </w:rPr>
                <m:t>X</m:t>
              </m:r>
              <m:r>
                <w:rPr>
                  <w:rFonts w:ascii="Cambria Math" w:hAnsi="Cambria Math" w:hint="eastAsia"/>
                </w:rPr>
                <m:t>→</m:t>
              </m:r>
              <m:r>
                <w:rPr>
                  <w:rFonts w:ascii="Cambria Math" w:hAnsi="Cambria Math"/>
                </w:rPr>
                <m:t>Y</m:t>
              </m:r>
            </m:e>
          </m:d>
          <m:r>
            <w:rPr>
              <w:rFonts w:ascii="Cambria Math" w:hAnsi="Cambria Math"/>
            </w:rPr>
            <m:t>≡P</m:t>
          </m:r>
          <m:d>
            <m:dPr>
              <m:ctrlPr>
                <w:rPr>
                  <w:rFonts w:ascii="Cambria Math" w:hAnsi="Cambria Math"/>
                  <w:i/>
                </w:rPr>
              </m:ctrlPr>
            </m:dPr>
            <m:e>
              <m:r>
                <w:rPr>
                  <w:rFonts w:ascii="Cambria Math" w:hAnsi="Cambria Math"/>
                </w:rPr>
                <m:t>Y</m:t>
              </m:r>
            </m:e>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X,Y</m:t>
                  </m:r>
                </m:e>
              </m:d>
            </m:num>
            <m:den>
              <m:r>
                <w:rPr>
                  <w:rFonts w:ascii="Cambria Math" w:hAnsi="Cambria Math"/>
                </w:rPr>
                <m:t>P</m:t>
              </m:r>
              <m:d>
                <m:dPr>
                  <m:ctrlPr>
                    <w:rPr>
                      <w:rFonts w:ascii="Cambria Math" w:hAnsi="Cambria Math"/>
                      <w:i/>
                    </w:rPr>
                  </m:ctrlPr>
                </m:dPr>
                <m:e>
                  <m:r>
                    <w:rPr>
                      <w:rFonts w:ascii="Cambria Math" w:hAnsi="Cambria Math"/>
                    </w:rPr>
                    <m:t>X</m:t>
                  </m:r>
                </m:e>
              </m:d>
            </m:den>
          </m:f>
          <m:r>
            <w:rPr>
              <w:rFonts w:ascii="Cambria Math" w:hAnsi="Cambria Math"/>
            </w:rPr>
            <m:t xml:space="preserve"> </m:t>
          </m:r>
          <m:r>
            <m:rPr>
              <m:sty m:val="p"/>
            </m:rPr>
            <w:rPr>
              <w:rFonts w:ascii="Cambria Math" w:hAnsi="Cambria Math"/>
            </w:rPr>
            <m:t xml:space="preserve">where, </m:t>
          </m:r>
          <m:r>
            <w:rPr>
              <w:rFonts w:ascii="Cambria Math" w:hAnsi="Cambria Math"/>
            </w:rPr>
            <m:t xml:space="preserve">c </m:t>
          </m:r>
          <m:r>
            <m:rPr>
              <m:sty m:val="p"/>
            </m:rPr>
            <w:rPr>
              <w:rFonts w:ascii="Cambria Math" w:hAnsi="Cambria Math"/>
            </w:rPr>
            <m:t>represents the confidence.</m:t>
          </m:r>
        </m:oMath>
      </m:oMathPara>
    </w:p>
    <w:p w14:paraId="7E76C571" w14:textId="75D0B899" w:rsidR="00013C9A" w:rsidRDefault="00C76BDE" w:rsidP="00C76BDE">
      <w:pPr>
        <w:spacing w:after="100" w:afterAutospacing="1" w:line="276" w:lineRule="auto"/>
      </w:pPr>
      <w:r>
        <w:t xml:space="preserve">Confidence of rules generated from the same item set has an antimonotone property, such as  </w:t>
      </w:r>
      <w:r w:rsidR="006C7CD7">
        <w:t>For our problem, probability functions are:</w:t>
      </w:r>
    </w:p>
    <w:p w14:paraId="0D8C495B" w14:textId="5BC51A45" w:rsidR="006C7CD7" w:rsidRPr="00013C9A" w:rsidRDefault="00C76BDE" w:rsidP="008845D7">
      <w:pPr>
        <w:spacing w:after="100" w:afterAutospacing="1" w:line="276" w:lineRule="auto"/>
      </w:pPr>
      <m:oMathPara>
        <m:oMath>
          <m:r>
            <w:rPr>
              <w:rFonts w:ascii="Cambria Math" w:hAnsi="Cambria Math"/>
            </w:rPr>
            <m:t>c</m:t>
          </m:r>
          <m:d>
            <m:dPr>
              <m:ctrlPr>
                <w:rPr>
                  <w:rFonts w:ascii="Cambria Math" w:hAnsi="Cambria Math"/>
                  <w:i/>
                </w:rPr>
              </m:ctrlPr>
            </m:dPr>
            <m:e>
              <m:r>
                <w:rPr>
                  <w:rFonts w:ascii="Cambria Math" w:hAnsi="Cambria Math"/>
                </w:rPr>
                <m:t>ABC</m:t>
              </m:r>
              <m:r>
                <w:rPr>
                  <w:rFonts w:ascii="Cambria Math" w:hAnsi="Cambria Math" w:hint="eastAsia"/>
                </w:rPr>
                <m:t>→</m:t>
              </m:r>
              <m:r>
                <w:rPr>
                  <w:rFonts w:ascii="Cambria Math" w:hAnsi="Cambria Math"/>
                </w:rPr>
                <m:t>D</m:t>
              </m:r>
            </m:e>
          </m:d>
          <m:r>
            <w:rPr>
              <w:rFonts w:ascii="Cambria Math" w:hAnsi="Cambria Math"/>
            </w:rPr>
            <m:t>≡P</m:t>
          </m:r>
          <m:d>
            <m:dPr>
              <m:ctrlPr>
                <w:rPr>
                  <w:rFonts w:ascii="Cambria Math" w:hAnsi="Cambria Math"/>
                  <w:i/>
                </w:rPr>
              </m:ctrlPr>
            </m:dPr>
            <m:e>
              <m:r>
                <w:rPr>
                  <w:rFonts w:ascii="Cambria Math" w:hAnsi="Cambria Math"/>
                </w:rPr>
                <m:t>D</m:t>
              </m:r>
            </m:e>
            <m:e>
              <m:r>
                <w:rPr>
                  <w:rFonts w:ascii="Cambria Math" w:hAnsi="Cambria Math"/>
                </w:rPr>
                <m:t>ABC</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ABC,D</m:t>
                  </m:r>
                </m:e>
              </m:d>
            </m:num>
            <m:den>
              <m:r>
                <w:rPr>
                  <w:rFonts w:ascii="Cambria Math" w:hAnsi="Cambria Math"/>
                </w:rPr>
                <m:t>P</m:t>
              </m:r>
              <m:d>
                <m:dPr>
                  <m:ctrlPr>
                    <w:rPr>
                      <w:rFonts w:ascii="Cambria Math" w:hAnsi="Cambria Math"/>
                      <w:i/>
                    </w:rPr>
                  </m:ctrlPr>
                </m:dPr>
                <m:e>
                  <m:r>
                    <w:rPr>
                      <w:rFonts w:ascii="Cambria Math" w:hAnsi="Cambria Math"/>
                    </w:rPr>
                    <m:t>D</m:t>
                  </m:r>
                </m:e>
              </m:d>
            </m:den>
          </m:f>
        </m:oMath>
      </m:oMathPara>
    </w:p>
    <w:p w14:paraId="10954533" w14:textId="31F763C1" w:rsidR="00EB2D1E" w:rsidRPr="006D41F1" w:rsidRDefault="006C7CD7" w:rsidP="006D41F1">
      <w:pPr>
        <w:spacing w:after="240"/>
        <w:jc w:val="center"/>
      </w:pPr>
      <m:oMathPara>
        <m:oMath>
          <m:r>
            <w:rPr>
              <w:rFonts w:ascii="Cambria Math" w:hAnsi="Cambria Math"/>
            </w:rPr>
            <m:t>c</m:t>
          </m:r>
          <m:d>
            <m:dPr>
              <m:ctrlPr>
                <w:rPr>
                  <w:rFonts w:ascii="Cambria Math" w:hAnsi="Cambria Math"/>
                  <w:i/>
                </w:rPr>
              </m:ctrlPr>
            </m:dPr>
            <m:e>
              <m:r>
                <w:rPr>
                  <w:rFonts w:ascii="Cambria Math" w:hAnsi="Cambria Math"/>
                </w:rPr>
                <m:t>AB</m:t>
              </m:r>
              <m:r>
                <w:rPr>
                  <w:rFonts w:ascii="Cambria Math" w:hAnsi="Cambria Math" w:hint="eastAsia"/>
                </w:rPr>
                <m:t>→</m:t>
              </m:r>
              <m:r>
                <w:rPr>
                  <w:rFonts w:ascii="Cambria Math" w:hAnsi="Cambria Math" w:cs="Cambria Math"/>
                </w:rPr>
                <m:t>C</m:t>
              </m:r>
              <m:r>
                <w:rPr>
                  <w:rFonts w:ascii="Cambria Math" w:hAnsi="Cambria Math"/>
                </w:rPr>
                <m:t>D</m:t>
              </m:r>
            </m:e>
          </m:d>
          <m:r>
            <w:rPr>
              <w:rFonts w:ascii="Cambria Math" w:hAnsi="Cambria Math"/>
            </w:rPr>
            <m:t>≡P</m:t>
          </m:r>
          <m:d>
            <m:dPr>
              <m:ctrlPr>
                <w:rPr>
                  <w:rFonts w:ascii="Cambria Math" w:hAnsi="Cambria Math"/>
                  <w:i/>
                </w:rPr>
              </m:ctrlPr>
            </m:dPr>
            <m:e>
              <m:r>
                <w:rPr>
                  <w:rFonts w:ascii="Cambria Math" w:hAnsi="Cambria Math"/>
                </w:rPr>
                <m:t>CD</m:t>
              </m:r>
            </m:e>
            <m:e>
              <m:r>
                <w:rPr>
                  <w:rFonts w:ascii="Cambria Math" w:hAnsi="Cambria Math"/>
                </w:rPr>
                <m:t>AB</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AB,CD</m:t>
                  </m:r>
                </m:e>
              </m:d>
            </m:num>
            <m:den>
              <m:r>
                <w:rPr>
                  <w:rFonts w:ascii="Cambria Math" w:hAnsi="Cambria Math"/>
                </w:rPr>
                <m:t>P</m:t>
              </m:r>
              <m:d>
                <m:dPr>
                  <m:ctrlPr>
                    <w:rPr>
                      <w:rFonts w:ascii="Cambria Math" w:hAnsi="Cambria Math"/>
                      <w:i/>
                    </w:rPr>
                  </m:ctrlPr>
                </m:dPr>
                <m:e>
                  <m:r>
                    <w:rPr>
                      <w:rFonts w:ascii="Cambria Math" w:hAnsi="Cambria Math"/>
                    </w:rPr>
                    <m:t>CD</m:t>
                  </m:r>
                </m:e>
              </m:d>
            </m:den>
          </m:f>
        </m:oMath>
      </m:oMathPara>
    </w:p>
    <w:p w14:paraId="0911B665" w14:textId="322E56A7" w:rsidR="00A33D0E" w:rsidRDefault="00A33D0E" w:rsidP="006553A3">
      <w:pPr>
        <w:spacing w:before="120" w:after="240" w:line="276" w:lineRule="auto"/>
      </w:pPr>
      <w:r>
        <w:t>For the sake of clarity, it is beneficial to expand the confidence equations into the probability component.</w:t>
      </w:r>
      <w:r w:rsidR="006553A3" w:rsidRPr="006553A3">
        <w:t xml:space="preserve"> </w:t>
      </w:r>
      <w:r w:rsidR="006553A3">
        <w:t xml:space="preserve">Let’s assume we are using basket analysis, where a we have four items </w:t>
      </w:r>
      <m:oMath>
        <m:d>
          <m:dPr>
            <m:ctrlPr>
              <w:rPr>
                <w:rFonts w:ascii="Cambria Math" w:hAnsi="Cambria Math"/>
                <w:i/>
              </w:rPr>
            </m:ctrlPr>
          </m:dPr>
          <m:e>
            <m:r>
              <w:rPr>
                <w:rFonts w:ascii="Cambria Math" w:hAnsi="Cambria Math"/>
              </w:rPr>
              <m:t>A,B,C,D</m:t>
            </m:r>
          </m:e>
        </m:d>
      </m:oMath>
      <w:r w:rsidR="006553A3">
        <w:t xml:space="preserve"> and a database of </w:t>
      </w:r>
      <m:oMath>
        <m:r>
          <w:rPr>
            <w:rFonts w:ascii="Cambria Math" w:hAnsi="Cambria Math"/>
          </w:rPr>
          <m:t>500</m:t>
        </m:r>
      </m:oMath>
      <w:r w:rsidR="006553A3">
        <w:t xml:space="preserve"> purchases.</w:t>
      </w:r>
      <w:r w:rsidR="00BD424C">
        <w:t xml:space="preserve"> In this scenario, the </w:t>
      </w:r>
      <w:r w:rsidR="00BD424C" w:rsidRPr="00BD424C">
        <w:t>confidence is the conditional probability that a randomly selected transaction will include all the items in the consequent, given that the transaction includes all the items in the antecedent</w:t>
      </w:r>
      <w:r w:rsidR="00BD424C">
        <w:t>.</w:t>
      </w:r>
    </w:p>
    <w:p w14:paraId="5177AF05" w14:textId="77777777" w:rsidR="00EF7BC5" w:rsidRDefault="00EF7BC5" w:rsidP="006553A3">
      <w:pPr>
        <w:spacing w:before="120" w:after="240" w:line="276" w:lineRule="auto"/>
      </w:pPr>
    </w:p>
    <w:p w14:paraId="653E3EF7" w14:textId="7CEEE02E" w:rsidR="00115905" w:rsidRPr="00EF7BC5" w:rsidRDefault="00A33D0E" w:rsidP="00EF7BC5">
      <w:pPr>
        <w:spacing w:after="100" w:afterAutospacing="1" w:line="276" w:lineRule="auto"/>
        <w:ind w:left="-1080" w:right="-990"/>
      </w:pPr>
      <m:oMathPara>
        <m:oMath>
          <m:r>
            <w:rPr>
              <w:rFonts w:ascii="Cambria Math" w:hAnsi="Cambria Math"/>
            </w:rPr>
            <m:t>c</m:t>
          </m:r>
          <m:d>
            <m:dPr>
              <m:ctrlPr>
                <w:rPr>
                  <w:rFonts w:ascii="Cambria Math" w:hAnsi="Cambria Math"/>
                  <w:i/>
                </w:rPr>
              </m:ctrlPr>
            </m:dPr>
            <m:e>
              <m:r>
                <w:rPr>
                  <w:rFonts w:ascii="Cambria Math" w:hAnsi="Cambria Math"/>
                </w:rPr>
                <m:t>ABC</m:t>
              </m:r>
              <m:r>
                <w:rPr>
                  <w:rFonts w:ascii="Cambria Math" w:hAnsi="Cambria Math" w:hint="eastAsia"/>
                </w:rPr>
                <m:t>→</m:t>
              </m:r>
              <m:r>
                <w:rPr>
                  <w:rFonts w:ascii="Cambria Math" w:hAnsi="Cambria Math"/>
                </w:rPr>
                <m:t>D</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ABC,D</m:t>
                  </m:r>
                </m:e>
              </m:d>
            </m:num>
            <m:den>
              <m:r>
                <w:rPr>
                  <w:rFonts w:ascii="Cambria Math" w:hAnsi="Cambria Math"/>
                </w:rPr>
                <m:t>P</m:t>
              </m:r>
              <m:d>
                <m:dPr>
                  <m:ctrlPr>
                    <w:rPr>
                      <w:rFonts w:ascii="Cambria Math" w:hAnsi="Cambria Math"/>
                      <w:i/>
                    </w:rPr>
                  </m:ctrlPr>
                </m:dPr>
                <m:e>
                  <m:r>
                    <w:rPr>
                      <w:rFonts w:ascii="Cambria Math" w:hAnsi="Cambria Math"/>
                    </w:rPr>
                    <m:t>D</m:t>
                  </m:r>
                </m:e>
              </m:d>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m:rPr>
                      <m:sty m:val="p"/>
                    </m:rPr>
                    <w:rPr>
                      <w:rFonts w:ascii="Cambria Math" w:hAnsi="Cambria Math"/>
                    </w:rPr>
                    <m:t>customers who bought ABC and D</m:t>
                  </m:r>
                </m:e>
              </m:d>
            </m:num>
            <m:den>
              <m:r>
                <w:rPr>
                  <w:rFonts w:ascii="Cambria Math" w:hAnsi="Cambria Math"/>
                </w:rPr>
                <m:t>#</m:t>
              </m:r>
              <m:d>
                <m:dPr>
                  <m:begChr m:val="{"/>
                  <m:endChr m:val="}"/>
                  <m:ctrlPr>
                    <w:rPr>
                      <w:rFonts w:ascii="Cambria Math" w:hAnsi="Cambria Math"/>
                      <w:i/>
                    </w:rPr>
                  </m:ctrlPr>
                </m:dPr>
                <m:e>
                  <m:r>
                    <m:rPr>
                      <m:sty m:val="p"/>
                    </m:rPr>
                    <w:rPr>
                      <w:rFonts w:ascii="Cambria Math" w:hAnsi="Cambria Math"/>
                    </w:rPr>
                    <m:t>customers who bought D</m:t>
                  </m:r>
                </m:e>
              </m:d>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m:rPr>
                      <m:sty m:val="p"/>
                    </m:rPr>
                    <w:rPr>
                      <w:rFonts w:ascii="Cambria Math" w:hAnsi="Cambria Math"/>
                    </w:rPr>
                    <m:t>customers who bought ABCD</m:t>
                  </m:r>
                </m:e>
              </m:d>
            </m:num>
            <m:den>
              <m:r>
                <w:rPr>
                  <w:rFonts w:ascii="Cambria Math" w:hAnsi="Cambria Math"/>
                </w:rPr>
                <m:t>#</m:t>
              </m:r>
              <m:d>
                <m:dPr>
                  <m:begChr m:val="{"/>
                  <m:endChr m:val="}"/>
                  <m:ctrlPr>
                    <w:rPr>
                      <w:rFonts w:ascii="Cambria Math" w:hAnsi="Cambria Math"/>
                      <w:i/>
                    </w:rPr>
                  </m:ctrlPr>
                </m:dPr>
                <m:e>
                  <m:r>
                    <m:rPr>
                      <m:sty m:val="p"/>
                    </m:rPr>
                    <w:rPr>
                      <w:rFonts w:ascii="Cambria Math" w:hAnsi="Cambria Math"/>
                    </w:rPr>
                    <m:t>customers who bought D</m:t>
                  </m:r>
                </m:e>
              </m:d>
            </m:den>
          </m:f>
        </m:oMath>
      </m:oMathPara>
    </w:p>
    <w:p w14:paraId="07548B7B" w14:textId="77777777" w:rsidR="00EF7BC5" w:rsidRPr="00115905" w:rsidRDefault="00EF7BC5" w:rsidP="00EF7BC5">
      <w:pPr>
        <w:spacing w:after="100" w:afterAutospacing="1" w:line="276" w:lineRule="auto"/>
        <w:ind w:left="-1080" w:right="-990"/>
      </w:pPr>
    </w:p>
    <w:p w14:paraId="1B29AE4E" w14:textId="44C7716F" w:rsidR="00A43C5D" w:rsidRPr="00115905" w:rsidRDefault="00EF7BC5" w:rsidP="005C20B7">
      <w:pPr>
        <w:spacing w:after="100" w:afterAutospacing="1" w:line="276" w:lineRule="auto"/>
        <w:ind w:left="-1080" w:right="-990"/>
      </w:pPr>
      <m:oMathPara>
        <m:oMath>
          <m:r>
            <w:rPr>
              <w:rFonts w:ascii="Cambria Math" w:hAnsi="Cambria Math"/>
            </w:rPr>
            <m:t>c</m:t>
          </m:r>
          <m:d>
            <m:dPr>
              <m:ctrlPr>
                <w:rPr>
                  <w:rFonts w:ascii="Cambria Math" w:hAnsi="Cambria Math"/>
                  <w:i/>
                </w:rPr>
              </m:ctrlPr>
            </m:dPr>
            <m:e>
              <m:r>
                <w:rPr>
                  <w:rFonts w:ascii="Cambria Math" w:hAnsi="Cambria Math"/>
                </w:rPr>
                <m:t>AB</m:t>
              </m:r>
              <m:r>
                <w:rPr>
                  <w:rFonts w:ascii="Cambria Math" w:hAnsi="Cambria Math" w:hint="eastAsia"/>
                </w:rPr>
                <m:t>→</m:t>
              </m:r>
              <m:r>
                <w:rPr>
                  <w:rFonts w:ascii="Cambria Math" w:hAnsi="Cambria Math" w:cs="Cambria Math"/>
                </w:rPr>
                <m:t>C</m:t>
              </m:r>
              <m:r>
                <w:rPr>
                  <w:rFonts w:ascii="Cambria Math" w:hAnsi="Cambria Math"/>
                </w:rPr>
                <m:t>D</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AB,CD</m:t>
                  </m:r>
                </m:e>
              </m:d>
            </m:num>
            <m:den>
              <m:r>
                <w:rPr>
                  <w:rFonts w:ascii="Cambria Math" w:hAnsi="Cambria Math"/>
                </w:rPr>
                <m:t>P</m:t>
              </m:r>
              <m:d>
                <m:dPr>
                  <m:ctrlPr>
                    <w:rPr>
                      <w:rFonts w:ascii="Cambria Math" w:hAnsi="Cambria Math"/>
                      <w:i/>
                    </w:rPr>
                  </m:ctrlPr>
                </m:dPr>
                <m:e>
                  <m:r>
                    <w:rPr>
                      <w:rFonts w:ascii="Cambria Math" w:hAnsi="Cambria Math"/>
                    </w:rPr>
                    <m:t>CD</m:t>
                  </m:r>
                </m:e>
              </m:d>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m:rPr>
                      <m:sty m:val="p"/>
                    </m:rPr>
                    <w:rPr>
                      <w:rFonts w:ascii="Cambria Math" w:hAnsi="Cambria Math"/>
                    </w:rPr>
                    <m:t>customers who bought AB and CD</m:t>
                  </m:r>
                </m:e>
              </m:d>
            </m:num>
            <m:den>
              <m:r>
                <w:rPr>
                  <w:rFonts w:ascii="Cambria Math" w:hAnsi="Cambria Math"/>
                </w:rPr>
                <m:t>#</m:t>
              </m:r>
              <m:d>
                <m:dPr>
                  <m:begChr m:val="{"/>
                  <m:endChr m:val="}"/>
                  <m:ctrlPr>
                    <w:rPr>
                      <w:rFonts w:ascii="Cambria Math" w:hAnsi="Cambria Math"/>
                      <w:i/>
                    </w:rPr>
                  </m:ctrlPr>
                </m:dPr>
                <m:e>
                  <m:r>
                    <m:rPr>
                      <m:sty m:val="p"/>
                    </m:rPr>
                    <w:rPr>
                      <w:rFonts w:ascii="Cambria Math" w:hAnsi="Cambria Math"/>
                    </w:rPr>
                    <m:t>customers who bought CD</m:t>
                  </m:r>
                </m:e>
              </m:d>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m:rPr>
                      <m:sty m:val="p"/>
                    </m:rPr>
                    <w:rPr>
                      <w:rFonts w:ascii="Cambria Math" w:hAnsi="Cambria Math"/>
                    </w:rPr>
                    <m:t>customers who bought ABCD</m:t>
                  </m:r>
                </m:e>
              </m:d>
            </m:num>
            <m:den>
              <m:r>
                <w:rPr>
                  <w:rFonts w:ascii="Cambria Math" w:hAnsi="Cambria Math"/>
                </w:rPr>
                <m:t>#</m:t>
              </m:r>
              <m:d>
                <m:dPr>
                  <m:begChr m:val="{"/>
                  <m:endChr m:val="}"/>
                  <m:ctrlPr>
                    <w:rPr>
                      <w:rFonts w:ascii="Cambria Math" w:hAnsi="Cambria Math"/>
                      <w:i/>
                    </w:rPr>
                  </m:ctrlPr>
                </m:dPr>
                <m:e>
                  <m:r>
                    <m:rPr>
                      <m:sty m:val="p"/>
                    </m:rPr>
                    <w:rPr>
                      <w:rFonts w:ascii="Cambria Math" w:hAnsi="Cambria Math"/>
                    </w:rPr>
                    <m:t>customers who bought CD</m:t>
                  </m:r>
                </m:e>
              </m:d>
            </m:den>
          </m:f>
        </m:oMath>
      </m:oMathPara>
    </w:p>
    <w:p w14:paraId="7FD03294" w14:textId="713154BE" w:rsidR="00A43C5D" w:rsidRPr="00A43C5D" w:rsidRDefault="00B2086E" w:rsidP="00A43C5D">
      <w:pPr>
        <w:pStyle w:val="Caption"/>
        <w:keepNext/>
        <w:jc w:val="center"/>
      </w:pPr>
      <w:r>
        <w:t xml:space="preserve">Table </w:t>
      </w:r>
      <w:r w:rsidR="002E7D5D">
        <w:fldChar w:fldCharType="begin"/>
      </w:r>
      <w:r w:rsidR="002E7D5D">
        <w:instrText xml:space="preserve"> SEQ Table \* ARABIC </w:instrText>
      </w:r>
      <w:r w:rsidR="002E7D5D">
        <w:fldChar w:fldCharType="separate"/>
      </w:r>
      <w:r w:rsidR="00741E97">
        <w:rPr>
          <w:noProof/>
        </w:rPr>
        <w:t>1</w:t>
      </w:r>
      <w:r w:rsidR="002E7D5D">
        <w:rPr>
          <w:noProof/>
        </w:rPr>
        <w:fldChar w:fldCharType="end"/>
      </w:r>
      <w:r>
        <w:t>: Single Item purchases.</w:t>
      </w:r>
    </w:p>
    <w:tbl>
      <w:tblPr>
        <w:tblW w:w="2076" w:type="dxa"/>
        <w:jc w:val="center"/>
        <w:tblInd w:w="93" w:type="dxa"/>
        <w:tblLook w:val="04A0" w:firstRow="1" w:lastRow="0" w:firstColumn="1" w:lastColumn="0" w:noHBand="0" w:noVBand="1"/>
      </w:tblPr>
      <w:tblGrid>
        <w:gridCol w:w="820"/>
        <w:gridCol w:w="1256"/>
      </w:tblGrid>
      <w:tr w:rsidR="00B2086E" w:rsidRPr="00B2086E" w14:paraId="35684E2B" w14:textId="77777777" w:rsidTr="00B2086E">
        <w:trPr>
          <w:trHeight w:val="320"/>
          <w:jc w:val="center"/>
        </w:trPr>
        <w:tc>
          <w:tcPr>
            <w:tcW w:w="820" w:type="dxa"/>
            <w:tcBorders>
              <w:top w:val="single" w:sz="4" w:space="0" w:color="auto"/>
              <w:left w:val="single" w:sz="4" w:space="0" w:color="auto"/>
              <w:bottom w:val="double" w:sz="6" w:space="0" w:color="auto"/>
              <w:right w:val="single" w:sz="4" w:space="0" w:color="auto"/>
            </w:tcBorders>
            <w:shd w:val="clear" w:color="auto" w:fill="auto"/>
            <w:noWrap/>
            <w:vAlign w:val="bottom"/>
            <w:hideMark/>
          </w:tcPr>
          <w:p w14:paraId="46B341F6" w14:textId="77777777" w:rsidR="00B2086E" w:rsidRPr="00B2086E" w:rsidRDefault="00B2086E" w:rsidP="00B2086E">
            <w:pPr>
              <w:rPr>
                <w:rFonts w:ascii="Times New Roman" w:eastAsia="Times New Roman" w:hAnsi="Times New Roman" w:cs="Times New Roman"/>
                <w:b/>
                <w:bCs/>
                <w:color w:val="000000"/>
                <w:sz w:val="22"/>
              </w:rPr>
            </w:pPr>
            <w:r w:rsidRPr="00B2086E">
              <w:rPr>
                <w:rFonts w:ascii="Times New Roman" w:eastAsia="Times New Roman" w:hAnsi="Times New Roman" w:cs="Times New Roman"/>
                <w:b/>
                <w:bCs/>
                <w:color w:val="000000"/>
                <w:sz w:val="22"/>
              </w:rPr>
              <w:t>Item</w:t>
            </w:r>
          </w:p>
        </w:tc>
        <w:tc>
          <w:tcPr>
            <w:tcW w:w="1256" w:type="dxa"/>
            <w:tcBorders>
              <w:top w:val="single" w:sz="4" w:space="0" w:color="auto"/>
              <w:left w:val="nil"/>
              <w:bottom w:val="double" w:sz="6" w:space="0" w:color="auto"/>
              <w:right w:val="single" w:sz="4" w:space="0" w:color="auto"/>
            </w:tcBorders>
            <w:shd w:val="clear" w:color="auto" w:fill="auto"/>
            <w:noWrap/>
            <w:vAlign w:val="bottom"/>
            <w:hideMark/>
          </w:tcPr>
          <w:p w14:paraId="65F65002" w14:textId="77777777" w:rsidR="00B2086E" w:rsidRPr="00B2086E" w:rsidRDefault="00B2086E" w:rsidP="00B2086E">
            <w:pPr>
              <w:jc w:val="center"/>
              <w:rPr>
                <w:rFonts w:ascii="Times New Roman" w:eastAsia="Times New Roman" w:hAnsi="Times New Roman" w:cs="Times New Roman"/>
                <w:b/>
                <w:bCs/>
                <w:color w:val="000000"/>
                <w:sz w:val="22"/>
              </w:rPr>
            </w:pPr>
            <w:r w:rsidRPr="00B2086E">
              <w:rPr>
                <w:rFonts w:ascii="Times New Roman" w:eastAsia="Times New Roman" w:hAnsi="Times New Roman" w:cs="Times New Roman"/>
                <w:b/>
                <w:bCs/>
                <w:color w:val="000000"/>
                <w:sz w:val="22"/>
              </w:rPr>
              <w:t>Purchases</w:t>
            </w:r>
          </w:p>
        </w:tc>
      </w:tr>
      <w:tr w:rsidR="00B2086E" w:rsidRPr="00B2086E" w14:paraId="2041444E" w14:textId="77777777" w:rsidTr="00B2086E">
        <w:trPr>
          <w:trHeight w:val="320"/>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14:paraId="7D8BA19B" w14:textId="77777777" w:rsidR="00B2086E" w:rsidRPr="00B2086E" w:rsidRDefault="00B2086E" w:rsidP="00B2086E">
            <w:pPr>
              <w:rPr>
                <w:rFonts w:ascii="Times New Roman" w:eastAsia="Times New Roman" w:hAnsi="Times New Roman" w:cs="Times New Roman"/>
                <w:color w:val="000000"/>
                <w:sz w:val="22"/>
              </w:rPr>
            </w:pPr>
            <w:r w:rsidRPr="00B2086E">
              <w:rPr>
                <w:rFonts w:ascii="Times New Roman" w:eastAsia="Times New Roman" w:hAnsi="Times New Roman" w:cs="Times New Roman"/>
                <w:color w:val="000000"/>
                <w:sz w:val="22"/>
              </w:rPr>
              <w:t>A</w:t>
            </w:r>
          </w:p>
        </w:tc>
        <w:tc>
          <w:tcPr>
            <w:tcW w:w="1256" w:type="dxa"/>
            <w:tcBorders>
              <w:top w:val="nil"/>
              <w:left w:val="nil"/>
              <w:bottom w:val="single" w:sz="4" w:space="0" w:color="auto"/>
              <w:right w:val="single" w:sz="4" w:space="0" w:color="auto"/>
            </w:tcBorders>
            <w:shd w:val="clear" w:color="auto" w:fill="auto"/>
            <w:noWrap/>
            <w:vAlign w:val="bottom"/>
            <w:hideMark/>
          </w:tcPr>
          <w:p w14:paraId="70C3BD47" w14:textId="77777777" w:rsidR="00B2086E" w:rsidRPr="00B2086E" w:rsidRDefault="00B2086E" w:rsidP="00B2086E">
            <w:pPr>
              <w:jc w:val="center"/>
              <w:rPr>
                <w:rFonts w:ascii="Times New Roman" w:eastAsia="Times New Roman" w:hAnsi="Times New Roman" w:cs="Times New Roman"/>
                <w:color w:val="000000"/>
                <w:sz w:val="22"/>
              </w:rPr>
            </w:pPr>
            <w:r w:rsidRPr="00B2086E">
              <w:rPr>
                <w:rFonts w:ascii="Times New Roman" w:eastAsia="Times New Roman" w:hAnsi="Times New Roman" w:cs="Times New Roman"/>
                <w:color w:val="000000"/>
                <w:sz w:val="22"/>
              </w:rPr>
              <w:t>150</w:t>
            </w:r>
          </w:p>
        </w:tc>
      </w:tr>
      <w:tr w:rsidR="00B2086E" w:rsidRPr="00B2086E" w14:paraId="557A06F4" w14:textId="77777777" w:rsidTr="00B2086E">
        <w:trPr>
          <w:trHeight w:val="300"/>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14:paraId="02E63364" w14:textId="77777777" w:rsidR="00B2086E" w:rsidRPr="00B2086E" w:rsidRDefault="00B2086E" w:rsidP="00B2086E">
            <w:pPr>
              <w:rPr>
                <w:rFonts w:ascii="Times New Roman" w:eastAsia="Times New Roman" w:hAnsi="Times New Roman" w:cs="Times New Roman"/>
                <w:color w:val="000000"/>
                <w:sz w:val="22"/>
              </w:rPr>
            </w:pPr>
            <w:r w:rsidRPr="00B2086E">
              <w:rPr>
                <w:rFonts w:ascii="Times New Roman" w:eastAsia="Times New Roman" w:hAnsi="Times New Roman" w:cs="Times New Roman"/>
                <w:color w:val="000000"/>
                <w:sz w:val="22"/>
              </w:rPr>
              <w:t>B</w:t>
            </w:r>
          </w:p>
        </w:tc>
        <w:tc>
          <w:tcPr>
            <w:tcW w:w="1256" w:type="dxa"/>
            <w:tcBorders>
              <w:top w:val="nil"/>
              <w:left w:val="nil"/>
              <w:bottom w:val="single" w:sz="4" w:space="0" w:color="auto"/>
              <w:right w:val="single" w:sz="4" w:space="0" w:color="auto"/>
            </w:tcBorders>
            <w:shd w:val="clear" w:color="auto" w:fill="auto"/>
            <w:noWrap/>
            <w:vAlign w:val="bottom"/>
            <w:hideMark/>
          </w:tcPr>
          <w:p w14:paraId="544E28A4" w14:textId="77777777" w:rsidR="00B2086E" w:rsidRPr="00B2086E" w:rsidRDefault="00B2086E" w:rsidP="00B2086E">
            <w:pPr>
              <w:jc w:val="center"/>
              <w:rPr>
                <w:rFonts w:ascii="Times New Roman" w:eastAsia="Times New Roman" w:hAnsi="Times New Roman" w:cs="Times New Roman"/>
                <w:color w:val="000000"/>
                <w:sz w:val="22"/>
              </w:rPr>
            </w:pPr>
            <w:r w:rsidRPr="00B2086E">
              <w:rPr>
                <w:rFonts w:ascii="Times New Roman" w:eastAsia="Times New Roman" w:hAnsi="Times New Roman" w:cs="Times New Roman"/>
                <w:color w:val="000000"/>
                <w:sz w:val="22"/>
              </w:rPr>
              <w:t>200</w:t>
            </w:r>
          </w:p>
        </w:tc>
      </w:tr>
      <w:tr w:rsidR="00B2086E" w:rsidRPr="00B2086E" w14:paraId="56ADEA92" w14:textId="77777777" w:rsidTr="00B2086E">
        <w:trPr>
          <w:trHeight w:val="300"/>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14:paraId="45699449" w14:textId="77777777" w:rsidR="00B2086E" w:rsidRPr="00B2086E" w:rsidRDefault="00B2086E" w:rsidP="00B2086E">
            <w:pPr>
              <w:rPr>
                <w:rFonts w:ascii="Times New Roman" w:eastAsia="Times New Roman" w:hAnsi="Times New Roman" w:cs="Times New Roman"/>
                <w:color w:val="000000"/>
                <w:sz w:val="22"/>
              </w:rPr>
            </w:pPr>
            <w:r w:rsidRPr="00B2086E">
              <w:rPr>
                <w:rFonts w:ascii="Times New Roman" w:eastAsia="Times New Roman" w:hAnsi="Times New Roman" w:cs="Times New Roman"/>
                <w:color w:val="000000"/>
                <w:sz w:val="22"/>
              </w:rPr>
              <w:t>C</w:t>
            </w:r>
          </w:p>
        </w:tc>
        <w:tc>
          <w:tcPr>
            <w:tcW w:w="1256" w:type="dxa"/>
            <w:tcBorders>
              <w:top w:val="nil"/>
              <w:left w:val="nil"/>
              <w:bottom w:val="single" w:sz="4" w:space="0" w:color="auto"/>
              <w:right w:val="single" w:sz="4" w:space="0" w:color="auto"/>
            </w:tcBorders>
            <w:shd w:val="clear" w:color="auto" w:fill="auto"/>
            <w:noWrap/>
            <w:vAlign w:val="bottom"/>
            <w:hideMark/>
          </w:tcPr>
          <w:p w14:paraId="7E6A7F98" w14:textId="77777777" w:rsidR="00B2086E" w:rsidRPr="00B2086E" w:rsidRDefault="00B2086E" w:rsidP="00B2086E">
            <w:pPr>
              <w:jc w:val="center"/>
              <w:rPr>
                <w:rFonts w:ascii="Times New Roman" w:eastAsia="Times New Roman" w:hAnsi="Times New Roman" w:cs="Times New Roman"/>
                <w:color w:val="000000"/>
                <w:sz w:val="22"/>
              </w:rPr>
            </w:pPr>
            <w:r w:rsidRPr="00B2086E">
              <w:rPr>
                <w:rFonts w:ascii="Times New Roman" w:eastAsia="Times New Roman" w:hAnsi="Times New Roman" w:cs="Times New Roman"/>
                <w:color w:val="000000"/>
                <w:sz w:val="22"/>
              </w:rPr>
              <w:t>50</w:t>
            </w:r>
          </w:p>
        </w:tc>
      </w:tr>
      <w:tr w:rsidR="00B2086E" w:rsidRPr="00B2086E" w14:paraId="229A3A02" w14:textId="77777777" w:rsidTr="00B2086E">
        <w:trPr>
          <w:trHeight w:val="300"/>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14:paraId="690CC2B8" w14:textId="77777777" w:rsidR="00B2086E" w:rsidRPr="00B2086E" w:rsidRDefault="00B2086E" w:rsidP="00B2086E">
            <w:pPr>
              <w:rPr>
                <w:rFonts w:ascii="Times New Roman" w:eastAsia="Times New Roman" w:hAnsi="Times New Roman" w:cs="Times New Roman"/>
                <w:color w:val="000000"/>
                <w:sz w:val="22"/>
              </w:rPr>
            </w:pPr>
            <w:r w:rsidRPr="00B2086E">
              <w:rPr>
                <w:rFonts w:ascii="Times New Roman" w:eastAsia="Times New Roman" w:hAnsi="Times New Roman" w:cs="Times New Roman"/>
                <w:color w:val="000000"/>
                <w:sz w:val="22"/>
              </w:rPr>
              <w:t>D</w:t>
            </w:r>
          </w:p>
        </w:tc>
        <w:tc>
          <w:tcPr>
            <w:tcW w:w="1256" w:type="dxa"/>
            <w:tcBorders>
              <w:top w:val="nil"/>
              <w:left w:val="nil"/>
              <w:bottom w:val="single" w:sz="4" w:space="0" w:color="auto"/>
              <w:right w:val="single" w:sz="4" w:space="0" w:color="auto"/>
            </w:tcBorders>
            <w:shd w:val="clear" w:color="auto" w:fill="auto"/>
            <w:noWrap/>
            <w:vAlign w:val="bottom"/>
            <w:hideMark/>
          </w:tcPr>
          <w:p w14:paraId="29970B53" w14:textId="77777777" w:rsidR="00B2086E" w:rsidRPr="00B2086E" w:rsidRDefault="00B2086E" w:rsidP="00B2086E">
            <w:pPr>
              <w:jc w:val="center"/>
              <w:rPr>
                <w:rFonts w:ascii="Times New Roman" w:eastAsia="Times New Roman" w:hAnsi="Times New Roman" w:cs="Times New Roman"/>
                <w:color w:val="000000"/>
                <w:sz w:val="22"/>
              </w:rPr>
            </w:pPr>
            <w:r w:rsidRPr="00B2086E">
              <w:rPr>
                <w:rFonts w:ascii="Times New Roman" w:eastAsia="Times New Roman" w:hAnsi="Times New Roman" w:cs="Times New Roman"/>
                <w:color w:val="000000"/>
                <w:sz w:val="22"/>
              </w:rPr>
              <w:t>100</w:t>
            </w:r>
          </w:p>
        </w:tc>
      </w:tr>
    </w:tbl>
    <w:p w14:paraId="2C0D4F9E" w14:textId="291097CA" w:rsidR="00B2086E" w:rsidRDefault="00B2086E" w:rsidP="006C7CD7"/>
    <w:p w14:paraId="29A4AAE9" w14:textId="1A86D37F" w:rsidR="00B2086E" w:rsidRDefault="00B2086E" w:rsidP="00B2086E">
      <w:pPr>
        <w:pStyle w:val="Caption"/>
        <w:keepNext/>
        <w:jc w:val="center"/>
      </w:pPr>
      <w:r>
        <w:t xml:space="preserve">Table </w:t>
      </w:r>
      <w:r w:rsidR="002E7D5D">
        <w:fldChar w:fldCharType="begin"/>
      </w:r>
      <w:r w:rsidR="002E7D5D">
        <w:instrText xml:space="preserve"> SEQ Table \* ARABIC </w:instrText>
      </w:r>
      <w:r w:rsidR="002E7D5D">
        <w:fldChar w:fldCharType="separate"/>
      </w:r>
      <w:r w:rsidR="00741E97">
        <w:rPr>
          <w:noProof/>
        </w:rPr>
        <w:t>2</w:t>
      </w:r>
      <w:r w:rsidR="002E7D5D">
        <w:rPr>
          <w:noProof/>
        </w:rPr>
        <w:fldChar w:fldCharType="end"/>
      </w:r>
      <w:r>
        <w:t>: Double item purchases.</w:t>
      </w:r>
    </w:p>
    <w:tbl>
      <w:tblPr>
        <w:tblW w:w="2136" w:type="dxa"/>
        <w:jc w:val="center"/>
        <w:tblInd w:w="93" w:type="dxa"/>
        <w:tblLook w:val="04A0" w:firstRow="1" w:lastRow="0" w:firstColumn="1" w:lastColumn="0" w:noHBand="0" w:noVBand="1"/>
      </w:tblPr>
      <w:tblGrid>
        <w:gridCol w:w="880"/>
        <w:gridCol w:w="1256"/>
      </w:tblGrid>
      <w:tr w:rsidR="00B2086E" w:rsidRPr="00B2086E" w14:paraId="578C719C" w14:textId="77777777" w:rsidTr="00B2086E">
        <w:trPr>
          <w:trHeight w:val="320"/>
          <w:jc w:val="center"/>
        </w:trPr>
        <w:tc>
          <w:tcPr>
            <w:tcW w:w="880" w:type="dxa"/>
            <w:tcBorders>
              <w:top w:val="single" w:sz="4" w:space="0" w:color="auto"/>
              <w:left w:val="single" w:sz="4" w:space="0" w:color="auto"/>
              <w:bottom w:val="double" w:sz="6" w:space="0" w:color="auto"/>
              <w:right w:val="single" w:sz="4" w:space="0" w:color="auto"/>
            </w:tcBorders>
            <w:shd w:val="clear" w:color="auto" w:fill="auto"/>
            <w:noWrap/>
            <w:vAlign w:val="bottom"/>
            <w:hideMark/>
          </w:tcPr>
          <w:p w14:paraId="15B41C32" w14:textId="77777777" w:rsidR="00B2086E" w:rsidRPr="00B2086E" w:rsidRDefault="00B2086E" w:rsidP="00B2086E">
            <w:pPr>
              <w:rPr>
                <w:rFonts w:ascii="Times New Roman" w:eastAsia="Times New Roman" w:hAnsi="Times New Roman" w:cs="Times New Roman"/>
                <w:b/>
                <w:bCs/>
                <w:color w:val="000000"/>
              </w:rPr>
            </w:pPr>
            <w:r w:rsidRPr="00B2086E">
              <w:rPr>
                <w:rFonts w:ascii="Times New Roman" w:eastAsia="Times New Roman" w:hAnsi="Times New Roman" w:cs="Times New Roman"/>
                <w:b/>
                <w:bCs/>
                <w:color w:val="000000"/>
              </w:rPr>
              <w:t>Item</w:t>
            </w:r>
          </w:p>
        </w:tc>
        <w:tc>
          <w:tcPr>
            <w:tcW w:w="1256" w:type="dxa"/>
            <w:tcBorders>
              <w:top w:val="single" w:sz="4" w:space="0" w:color="auto"/>
              <w:left w:val="nil"/>
              <w:bottom w:val="double" w:sz="6" w:space="0" w:color="auto"/>
              <w:right w:val="single" w:sz="4" w:space="0" w:color="auto"/>
            </w:tcBorders>
            <w:shd w:val="clear" w:color="auto" w:fill="auto"/>
            <w:noWrap/>
            <w:vAlign w:val="bottom"/>
            <w:hideMark/>
          </w:tcPr>
          <w:p w14:paraId="39AA5BB1" w14:textId="77777777" w:rsidR="00B2086E" w:rsidRPr="00B2086E" w:rsidRDefault="00B2086E" w:rsidP="00B2086E">
            <w:pPr>
              <w:jc w:val="center"/>
              <w:rPr>
                <w:rFonts w:ascii="Times New Roman" w:eastAsia="Times New Roman" w:hAnsi="Times New Roman" w:cs="Times New Roman"/>
                <w:b/>
                <w:bCs/>
                <w:color w:val="000000"/>
              </w:rPr>
            </w:pPr>
            <w:r w:rsidRPr="00B2086E">
              <w:rPr>
                <w:rFonts w:ascii="Times New Roman" w:eastAsia="Times New Roman" w:hAnsi="Times New Roman" w:cs="Times New Roman"/>
                <w:b/>
                <w:bCs/>
                <w:color w:val="000000"/>
              </w:rPr>
              <w:t>Purchases</w:t>
            </w:r>
          </w:p>
        </w:tc>
      </w:tr>
      <w:tr w:rsidR="00B2086E" w:rsidRPr="00B2086E" w14:paraId="7A41DDFE" w14:textId="77777777" w:rsidTr="00B2086E">
        <w:trPr>
          <w:trHeight w:val="320"/>
          <w:jc w:val="center"/>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41EF657B" w14:textId="77777777" w:rsidR="00B2086E" w:rsidRPr="00B2086E" w:rsidRDefault="00B2086E" w:rsidP="00B2086E">
            <w:pPr>
              <w:rPr>
                <w:rFonts w:ascii="Times New Roman" w:eastAsia="Times New Roman" w:hAnsi="Times New Roman" w:cs="Times New Roman"/>
                <w:color w:val="000000"/>
              </w:rPr>
            </w:pPr>
            <w:r w:rsidRPr="00B2086E">
              <w:rPr>
                <w:rFonts w:ascii="Times New Roman" w:eastAsia="Times New Roman" w:hAnsi="Times New Roman" w:cs="Times New Roman"/>
                <w:color w:val="000000"/>
              </w:rPr>
              <w:t>AB</w:t>
            </w:r>
          </w:p>
        </w:tc>
        <w:tc>
          <w:tcPr>
            <w:tcW w:w="1256" w:type="dxa"/>
            <w:tcBorders>
              <w:top w:val="nil"/>
              <w:left w:val="nil"/>
              <w:bottom w:val="single" w:sz="4" w:space="0" w:color="auto"/>
              <w:right w:val="single" w:sz="4" w:space="0" w:color="auto"/>
            </w:tcBorders>
            <w:shd w:val="clear" w:color="auto" w:fill="auto"/>
            <w:noWrap/>
            <w:vAlign w:val="bottom"/>
            <w:hideMark/>
          </w:tcPr>
          <w:p w14:paraId="18150A89" w14:textId="77777777" w:rsidR="00B2086E" w:rsidRPr="00B2086E" w:rsidRDefault="00B2086E" w:rsidP="00B2086E">
            <w:pPr>
              <w:jc w:val="center"/>
              <w:rPr>
                <w:rFonts w:ascii="Times New Roman" w:eastAsia="Times New Roman" w:hAnsi="Times New Roman" w:cs="Times New Roman"/>
                <w:color w:val="000000"/>
              </w:rPr>
            </w:pPr>
            <w:r w:rsidRPr="00B2086E">
              <w:rPr>
                <w:rFonts w:ascii="Times New Roman" w:eastAsia="Times New Roman" w:hAnsi="Times New Roman" w:cs="Times New Roman"/>
                <w:color w:val="000000"/>
              </w:rPr>
              <w:t>50</w:t>
            </w:r>
          </w:p>
        </w:tc>
      </w:tr>
      <w:tr w:rsidR="00B2086E" w:rsidRPr="00B2086E" w14:paraId="1E37E7DC" w14:textId="77777777" w:rsidTr="00B2086E">
        <w:trPr>
          <w:trHeight w:val="300"/>
          <w:jc w:val="center"/>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4BEE4A44" w14:textId="77777777" w:rsidR="00B2086E" w:rsidRPr="00B2086E" w:rsidRDefault="00B2086E" w:rsidP="00B2086E">
            <w:pPr>
              <w:rPr>
                <w:rFonts w:ascii="Times New Roman" w:eastAsia="Times New Roman" w:hAnsi="Times New Roman" w:cs="Times New Roman"/>
                <w:color w:val="000000"/>
              </w:rPr>
            </w:pPr>
            <w:r w:rsidRPr="00B2086E">
              <w:rPr>
                <w:rFonts w:ascii="Times New Roman" w:eastAsia="Times New Roman" w:hAnsi="Times New Roman" w:cs="Times New Roman"/>
                <w:color w:val="000000"/>
              </w:rPr>
              <w:t>AC</w:t>
            </w:r>
          </w:p>
        </w:tc>
        <w:tc>
          <w:tcPr>
            <w:tcW w:w="1256" w:type="dxa"/>
            <w:tcBorders>
              <w:top w:val="nil"/>
              <w:left w:val="nil"/>
              <w:bottom w:val="single" w:sz="4" w:space="0" w:color="auto"/>
              <w:right w:val="single" w:sz="4" w:space="0" w:color="auto"/>
            </w:tcBorders>
            <w:shd w:val="clear" w:color="auto" w:fill="auto"/>
            <w:noWrap/>
            <w:vAlign w:val="bottom"/>
            <w:hideMark/>
          </w:tcPr>
          <w:p w14:paraId="0FA3E940" w14:textId="2F3FE470" w:rsidR="00B2086E" w:rsidRPr="00B2086E" w:rsidRDefault="00B2086E" w:rsidP="00B2086E">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r>
      <w:tr w:rsidR="00B2086E" w:rsidRPr="00B2086E" w14:paraId="148F54F2" w14:textId="77777777" w:rsidTr="00B2086E">
        <w:trPr>
          <w:trHeight w:val="300"/>
          <w:jc w:val="center"/>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61C6B1D2" w14:textId="77777777" w:rsidR="00B2086E" w:rsidRPr="00B2086E" w:rsidRDefault="00B2086E" w:rsidP="00B2086E">
            <w:pPr>
              <w:rPr>
                <w:rFonts w:ascii="Times New Roman" w:eastAsia="Times New Roman" w:hAnsi="Times New Roman" w:cs="Times New Roman"/>
                <w:color w:val="000000"/>
              </w:rPr>
            </w:pPr>
            <w:r w:rsidRPr="00B2086E">
              <w:rPr>
                <w:rFonts w:ascii="Times New Roman" w:eastAsia="Times New Roman" w:hAnsi="Times New Roman" w:cs="Times New Roman"/>
                <w:color w:val="000000"/>
              </w:rPr>
              <w:t>AD</w:t>
            </w:r>
          </w:p>
        </w:tc>
        <w:tc>
          <w:tcPr>
            <w:tcW w:w="1256" w:type="dxa"/>
            <w:tcBorders>
              <w:top w:val="nil"/>
              <w:left w:val="nil"/>
              <w:bottom w:val="single" w:sz="4" w:space="0" w:color="auto"/>
              <w:right w:val="single" w:sz="4" w:space="0" w:color="auto"/>
            </w:tcBorders>
            <w:shd w:val="clear" w:color="auto" w:fill="auto"/>
            <w:noWrap/>
            <w:vAlign w:val="bottom"/>
            <w:hideMark/>
          </w:tcPr>
          <w:p w14:paraId="1EA0A965" w14:textId="77777777" w:rsidR="00B2086E" w:rsidRPr="00B2086E" w:rsidRDefault="00B2086E" w:rsidP="00B2086E">
            <w:pPr>
              <w:jc w:val="center"/>
              <w:rPr>
                <w:rFonts w:ascii="Times New Roman" w:eastAsia="Times New Roman" w:hAnsi="Times New Roman" w:cs="Times New Roman"/>
                <w:color w:val="000000"/>
              </w:rPr>
            </w:pPr>
            <w:r w:rsidRPr="00B2086E">
              <w:rPr>
                <w:rFonts w:ascii="Times New Roman" w:eastAsia="Times New Roman" w:hAnsi="Times New Roman" w:cs="Times New Roman"/>
                <w:color w:val="000000"/>
              </w:rPr>
              <w:t>15</w:t>
            </w:r>
          </w:p>
        </w:tc>
      </w:tr>
      <w:tr w:rsidR="00B2086E" w:rsidRPr="00B2086E" w14:paraId="5A2FC131" w14:textId="77777777" w:rsidTr="00B2086E">
        <w:trPr>
          <w:trHeight w:val="300"/>
          <w:jc w:val="center"/>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59BA85CE" w14:textId="77777777" w:rsidR="00B2086E" w:rsidRPr="00B2086E" w:rsidRDefault="00B2086E" w:rsidP="00B2086E">
            <w:pPr>
              <w:rPr>
                <w:rFonts w:ascii="Times New Roman" w:eastAsia="Times New Roman" w:hAnsi="Times New Roman" w:cs="Times New Roman"/>
                <w:color w:val="000000"/>
              </w:rPr>
            </w:pPr>
            <w:r w:rsidRPr="00B2086E">
              <w:rPr>
                <w:rFonts w:ascii="Times New Roman" w:eastAsia="Times New Roman" w:hAnsi="Times New Roman" w:cs="Times New Roman"/>
                <w:color w:val="000000"/>
              </w:rPr>
              <w:t>BC</w:t>
            </w:r>
          </w:p>
        </w:tc>
        <w:tc>
          <w:tcPr>
            <w:tcW w:w="1256" w:type="dxa"/>
            <w:tcBorders>
              <w:top w:val="nil"/>
              <w:left w:val="nil"/>
              <w:bottom w:val="single" w:sz="4" w:space="0" w:color="auto"/>
              <w:right w:val="single" w:sz="4" w:space="0" w:color="auto"/>
            </w:tcBorders>
            <w:shd w:val="clear" w:color="auto" w:fill="auto"/>
            <w:noWrap/>
            <w:vAlign w:val="bottom"/>
            <w:hideMark/>
          </w:tcPr>
          <w:p w14:paraId="63AC0B06" w14:textId="46EDC7E6" w:rsidR="00B2086E" w:rsidRPr="00B2086E" w:rsidRDefault="00B2086E" w:rsidP="00B2086E">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r>
      <w:tr w:rsidR="00B2086E" w:rsidRPr="00B2086E" w14:paraId="731BF4BA" w14:textId="77777777" w:rsidTr="00B2086E">
        <w:trPr>
          <w:trHeight w:val="300"/>
          <w:jc w:val="center"/>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751350BC" w14:textId="77777777" w:rsidR="00B2086E" w:rsidRPr="00B2086E" w:rsidRDefault="00B2086E" w:rsidP="00B2086E">
            <w:pPr>
              <w:rPr>
                <w:rFonts w:ascii="Times New Roman" w:eastAsia="Times New Roman" w:hAnsi="Times New Roman" w:cs="Times New Roman"/>
                <w:color w:val="000000"/>
              </w:rPr>
            </w:pPr>
            <w:r w:rsidRPr="00B2086E">
              <w:rPr>
                <w:rFonts w:ascii="Times New Roman" w:eastAsia="Times New Roman" w:hAnsi="Times New Roman" w:cs="Times New Roman"/>
                <w:color w:val="000000"/>
              </w:rPr>
              <w:t>BD</w:t>
            </w:r>
          </w:p>
        </w:tc>
        <w:tc>
          <w:tcPr>
            <w:tcW w:w="1256" w:type="dxa"/>
            <w:tcBorders>
              <w:top w:val="nil"/>
              <w:left w:val="nil"/>
              <w:bottom w:val="single" w:sz="4" w:space="0" w:color="auto"/>
              <w:right w:val="single" w:sz="4" w:space="0" w:color="auto"/>
            </w:tcBorders>
            <w:shd w:val="clear" w:color="auto" w:fill="auto"/>
            <w:noWrap/>
            <w:vAlign w:val="bottom"/>
            <w:hideMark/>
          </w:tcPr>
          <w:p w14:paraId="010D37A2" w14:textId="77777777" w:rsidR="00B2086E" w:rsidRPr="00B2086E" w:rsidRDefault="00B2086E" w:rsidP="00B2086E">
            <w:pPr>
              <w:jc w:val="center"/>
              <w:rPr>
                <w:rFonts w:ascii="Times New Roman" w:eastAsia="Times New Roman" w:hAnsi="Times New Roman" w:cs="Times New Roman"/>
                <w:color w:val="000000"/>
              </w:rPr>
            </w:pPr>
            <w:r w:rsidRPr="00B2086E">
              <w:rPr>
                <w:rFonts w:ascii="Times New Roman" w:eastAsia="Times New Roman" w:hAnsi="Times New Roman" w:cs="Times New Roman"/>
                <w:color w:val="000000"/>
              </w:rPr>
              <w:t>20</w:t>
            </w:r>
          </w:p>
        </w:tc>
      </w:tr>
      <w:tr w:rsidR="00B2086E" w:rsidRPr="00B2086E" w14:paraId="78F6D0B3" w14:textId="77777777" w:rsidTr="00B2086E">
        <w:trPr>
          <w:trHeight w:val="300"/>
          <w:jc w:val="center"/>
        </w:trPr>
        <w:tc>
          <w:tcPr>
            <w:tcW w:w="880" w:type="dxa"/>
            <w:tcBorders>
              <w:top w:val="nil"/>
              <w:left w:val="single" w:sz="4" w:space="0" w:color="auto"/>
              <w:bottom w:val="single" w:sz="4" w:space="0" w:color="auto"/>
              <w:right w:val="single" w:sz="4" w:space="0" w:color="auto"/>
            </w:tcBorders>
            <w:shd w:val="clear" w:color="auto" w:fill="auto"/>
            <w:noWrap/>
            <w:vAlign w:val="bottom"/>
            <w:hideMark/>
          </w:tcPr>
          <w:p w14:paraId="12886A3A" w14:textId="77777777" w:rsidR="00B2086E" w:rsidRPr="00B2086E" w:rsidRDefault="00B2086E" w:rsidP="00B2086E">
            <w:pPr>
              <w:rPr>
                <w:rFonts w:ascii="Times New Roman" w:eastAsia="Times New Roman" w:hAnsi="Times New Roman" w:cs="Times New Roman"/>
                <w:color w:val="000000"/>
              </w:rPr>
            </w:pPr>
            <w:r w:rsidRPr="00B2086E">
              <w:rPr>
                <w:rFonts w:ascii="Times New Roman" w:eastAsia="Times New Roman" w:hAnsi="Times New Roman" w:cs="Times New Roman"/>
                <w:color w:val="000000"/>
              </w:rPr>
              <w:t>CD</w:t>
            </w:r>
          </w:p>
        </w:tc>
        <w:tc>
          <w:tcPr>
            <w:tcW w:w="1256" w:type="dxa"/>
            <w:tcBorders>
              <w:top w:val="nil"/>
              <w:left w:val="nil"/>
              <w:bottom w:val="single" w:sz="4" w:space="0" w:color="auto"/>
              <w:right w:val="single" w:sz="4" w:space="0" w:color="auto"/>
            </w:tcBorders>
            <w:shd w:val="clear" w:color="auto" w:fill="auto"/>
            <w:noWrap/>
            <w:vAlign w:val="bottom"/>
            <w:hideMark/>
          </w:tcPr>
          <w:p w14:paraId="165FEC3E" w14:textId="77777777" w:rsidR="00B2086E" w:rsidRPr="00B2086E" w:rsidRDefault="00B2086E" w:rsidP="00B2086E">
            <w:pPr>
              <w:jc w:val="center"/>
              <w:rPr>
                <w:rFonts w:ascii="Times New Roman" w:eastAsia="Times New Roman" w:hAnsi="Times New Roman" w:cs="Times New Roman"/>
                <w:color w:val="000000"/>
              </w:rPr>
            </w:pPr>
            <w:r w:rsidRPr="00B2086E">
              <w:rPr>
                <w:rFonts w:ascii="Times New Roman" w:eastAsia="Times New Roman" w:hAnsi="Times New Roman" w:cs="Times New Roman"/>
                <w:color w:val="000000"/>
              </w:rPr>
              <w:t>20</w:t>
            </w:r>
          </w:p>
        </w:tc>
      </w:tr>
    </w:tbl>
    <w:p w14:paraId="319D4711" w14:textId="182DB1DE" w:rsidR="006C7CD7" w:rsidRDefault="006C7CD7" w:rsidP="006C7CD7"/>
    <w:p w14:paraId="11E5BB27" w14:textId="206AE7F4" w:rsidR="00741E97" w:rsidRDefault="00741E97" w:rsidP="00741E97">
      <w:pPr>
        <w:pStyle w:val="Caption"/>
        <w:keepNext/>
        <w:jc w:val="center"/>
      </w:pPr>
      <w:r>
        <w:t xml:space="preserve">Table </w:t>
      </w:r>
      <w:r w:rsidR="002E7D5D">
        <w:fldChar w:fldCharType="begin"/>
      </w:r>
      <w:r w:rsidR="002E7D5D">
        <w:instrText xml:space="preserve"> SEQ Table \* ARABIC </w:instrText>
      </w:r>
      <w:r w:rsidR="002E7D5D">
        <w:fldChar w:fldCharType="separate"/>
      </w:r>
      <w:r>
        <w:rPr>
          <w:noProof/>
        </w:rPr>
        <w:t>3</w:t>
      </w:r>
      <w:r w:rsidR="002E7D5D">
        <w:rPr>
          <w:noProof/>
        </w:rPr>
        <w:fldChar w:fldCharType="end"/>
      </w:r>
      <w:r>
        <w:t>: Third item purchases.</w:t>
      </w:r>
    </w:p>
    <w:tbl>
      <w:tblPr>
        <w:tblW w:w="2156" w:type="dxa"/>
        <w:jc w:val="center"/>
        <w:tblInd w:w="93" w:type="dxa"/>
        <w:tblLook w:val="04A0" w:firstRow="1" w:lastRow="0" w:firstColumn="1" w:lastColumn="0" w:noHBand="0" w:noVBand="1"/>
      </w:tblPr>
      <w:tblGrid>
        <w:gridCol w:w="900"/>
        <w:gridCol w:w="1256"/>
      </w:tblGrid>
      <w:tr w:rsidR="00741E97" w:rsidRPr="00741E97" w14:paraId="6E75FE0D" w14:textId="77777777" w:rsidTr="00741E97">
        <w:trPr>
          <w:trHeight w:val="320"/>
          <w:jc w:val="center"/>
        </w:trPr>
        <w:tc>
          <w:tcPr>
            <w:tcW w:w="900" w:type="dxa"/>
            <w:tcBorders>
              <w:top w:val="single" w:sz="4" w:space="0" w:color="auto"/>
              <w:left w:val="single" w:sz="4" w:space="0" w:color="auto"/>
              <w:bottom w:val="double" w:sz="6" w:space="0" w:color="auto"/>
              <w:right w:val="single" w:sz="4" w:space="0" w:color="auto"/>
            </w:tcBorders>
            <w:shd w:val="clear" w:color="auto" w:fill="auto"/>
            <w:noWrap/>
            <w:vAlign w:val="bottom"/>
            <w:hideMark/>
          </w:tcPr>
          <w:p w14:paraId="5897B663" w14:textId="77777777" w:rsidR="00741E97" w:rsidRPr="00741E97" w:rsidRDefault="00741E97" w:rsidP="00741E97">
            <w:pPr>
              <w:rPr>
                <w:rFonts w:ascii="Times New Roman" w:eastAsia="Times New Roman" w:hAnsi="Times New Roman" w:cs="Times New Roman"/>
                <w:b/>
                <w:bCs/>
                <w:color w:val="000000"/>
              </w:rPr>
            </w:pPr>
            <w:r w:rsidRPr="00741E97">
              <w:rPr>
                <w:rFonts w:ascii="Times New Roman" w:eastAsia="Times New Roman" w:hAnsi="Times New Roman" w:cs="Times New Roman"/>
                <w:b/>
                <w:bCs/>
                <w:color w:val="000000"/>
              </w:rPr>
              <w:t>Item</w:t>
            </w:r>
          </w:p>
        </w:tc>
        <w:tc>
          <w:tcPr>
            <w:tcW w:w="1256" w:type="dxa"/>
            <w:tcBorders>
              <w:top w:val="single" w:sz="4" w:space="0" w:color="auto"/>
              <w:left w:val="nil"/>
              <w:bottom w:val="double" w:sz="6" w:space="0" w:color="auto"/>
              <w:right w:val="single" w:sz="4" w:space="0" w:color="auto"/>
            </w:tcBorders>
            <w:shd w:val="clear" w:color="auto" w:fill="auto"/>
            <w:noWrap/>
            <w:vAlign w:val="bottom"/>
            <w:hideMark/>
          </w:tcPr>
          <w:p w14:paraId="4F3CE6FB" w14:textId="77777777" w:rsidR="00741E97" w:rsidRPr="00741E97" w:rsidRDefault="00741E97" w:rsidP="00741E97">
            <w:pPr>
              <w:jc w:val="center"/>
              <w:rPr>
                <w:rFonts w:ascii="Times New Roman" w:eastAsia="Times New Roman" w:hAnsi="Times New Roman" w:cs="Times New Roman"/>
                <w:b/>
                <w:bCs/>
                <w:color w:val="000000"/>
              </w:rPr>
            </w:pPr>
            <w:r w:rsidRPr="00741E97">
              <w:rPr>
                <w:rFonts w:ascii="Times New Roman" w:eastAsia="Times New Roman" w:hAnsi="Times New Roman" w:cs="Times New Roman"/>
                <w:b/>
                <w:bCs/>
                <w:color w:val="000000"/>
              </w:rPr>
              <w:t>Purchases</w:t>
            </w:r>
          </w:p>
        </w:tc>
      </w:tr>
      <w:tr w:rsidR="00741E97" w:rsidRPr="00741E97" w14:paraId="6BA3C1BA" w14:textId="77777777" w:rsidTr="00741E97">
        <w:trPr>
          <w:trHeight w:val="320"/>
          <w:jc w:val="center"/>
        </w:trPr>
        <w:tc>
          <w:tcPr>
            <w:tcW w:w="900" w:type="dxa"/>
            <w:tcBorders>
              <w:top w:val="nil"/>
              <w:left w:val="single" w:sz="4" w:space="0" w:color="auto"/>
              <w:bottom w:val="single" w:sz="4" w:space="0" w:color="auto"/>
              <w:right w:val="single" w:sz="4" w:space="0" w:color="auto"/>
            </w:tcBorders>
            <w:shd w:val="clear" w:color="auto" w:fill="auto"/>
            <w:noWrap/>
            <w:vAlign w:val="bottom"/>
            <w:hideMark/>
          </w:tcPr>
          <w:p w14:paraId="3FA034E1" w14:textId="77777777" w:rsidR="00741E97" w:rsidRPr="00741E97" w:rsidRDefault="00741E97" w:rsidP="00741E97">
            <w:pPr>
              <w:rPr>
                <w:rFonts w:ascii="Times New Roman" w:eastAsia="Times New Roman" w:hAnsi="Times New Roman" w:cs="Times New Roman"/>
                <w:color w:val="000000"/>
              </w:rPr>
            </w:pPr>
            <w:r w:rsidRPr="00741E97">
              <w:rPr>
                <w:rFonts w:ascii="Times New Roman" w:eastAsia="Times New Roman" w:hAnsi="Times New Roman" w:cs="Times New Roman"/>
                <w:color w:val="000000"/>
              </w:rPr>
              <w:t>ABC</w:t>
            </w:r>
          </w:p>
        </w:tc>
        <w:tc>
          <w:tcPr>
            <w:tcW w:w="1256" w:type="dxa"/>
            <w:tcBorders>
              <w:top w:val="nil"/>
              <w:left w:val="nil"/>
              <w:bottom w:val="single" w:sz="4" w:space="0" w:color="auto"/>
              <w:right w:val="single" w:sz="4" w:space="0" w:color="auto"/>
            </w:tcBorders>
            <w:shd w:val="clear" w:color="auto" w:fill="auto"/>
            <w:noWrap/>
            <w:vAlign w:val="bottom"/>
            <w:hideMark/>
          </w:tcPr>
          <w:p w14:paraId="001974D5" w14:textId="77777777" w:rsidR="00741E97" w:rsidRPr="00741E97" w:rsidRDefault="00741E97" w:rsidP="00741E97">
            <w:pPr>
              <w:jc w:val="center"/>
              <w:rPr>
                <w:rFonts w:ascii="Times New Roman" w:eastAsia="Times New Roman" w:hAnsi="Times New Roman" w:cs="Times New Roman"/>
                <w:color w:val="000000"/>
              </w:rPr>
            </w:pPr>
            <w:r w:rsidRPr="00741E97">
              <w:rPr>
                <w:rFonts w:ascii="Times New Roman" w:eastAsia="Times New Roman" w:hAnsi="Times New Roman" w:cs="Times New Roman"/>
                <w:color w:val="000000"/>
              </w:rPr>
              <w:t>5</w:t>
            </w:r>
          </w:p>
        </w:tc>
      </w:tr>
      <w:tr w:rsidR="00741E97" w:rsidRPr="00741E97" w14:paraId="0FB1772C" w14:textId="77777777" w:rsidTr="00741E97">
        <w:trPr>
          <w:trHeight w:val="300"/>
          <w:jc w:val="center"/>
        </w:trPr>
        <w:tc>
          <w:tcPr>
            <w:tcW w:w="900" w:type="dxa"/>
            <w:tcBorders>
              <w:top w:val="nil"/>
              <w:left w:val="single" w:sz="4" w:space="0" w:color="auto"/>
              <w:bottom w:val="single" w:sz="4" w:space="0" w:color="auto"/>
              <w:right w:val="single" w:sz="4" w:space="0" w:color="auto"/>
            </w:tcBorders>
            <w:shd w:val="clear" w:color="auto" w:fill="auto"/>
            <w:noWrap/>
            <w:vAlign w:val="bottom"/>
            <w:hideMark/>
          </w:tcPr>
          <w:p w14:paraId="044BFF2D" w14:textId="77777777" w:rsidR="00741E97" w:rsidRPr="00741E97" w:rsidRDefault="00741E97" w:rsidP="00741E97">
            <w:pPr>
              <w:rPr>
                <w:rFonts w:ascii="Times New Roman" w:eastAsia="Times New Roman" w:hAnsi="Times New Roman" w:cs="Times New Roman"/>
                <w:color w:val="000000"/>
              </w:rPr>
            </w:pPr>
            <w:r w:rsidRPr="00741E97">
              <w:rPr>
                <w:rFonts w:ascii="Times New Roman" w:eastAsia="Times New Roman" w:hAnsi="Times New Roman" w:cs="Times New Roman"/>
                <w:color w:val="000000"/>
              </w:rPr>
              <w:t>ABD</w:t>
            </w:r>
          </w:p>
        </w:tc>
        <w:tc>
          <w:tcPr>
            <w:tcW w:w="1256" w:type="dxa"/>
            <w:tcBorders>
              <w:top w:val="nil"/>
              <w:left w:val="nil"/>
              <w:bottom w:val="single" w:sz="4" w:space="0" w:color="auto"/>
              <w:right w:val="single" w:sz="4" w:space="0" w:color="auto"/>
            </w:tcBorders>
            <w:shd w:val="clear" w:color="auto" w:fill="auto"/>
            <w:noWrap/>
            <w:vAlign w:val="bottom"/>
            <w:hideMark/>
          </w:tcPr>
          <w:p w14:paraId="7289132C" w14:textId="77777777" w:rsidR="00741E97" w:rsidRPr="00741E97" w:rsidRDefault="00741E97" w:rsidP="00741E97">
            <w:pPr>
              <w:jc w:val="center"/>
              <w:rPr>
                <w:rFonts w:ascii="Times New Roman" w:eastAsia="Times New Roman" w:hAnsi="Times New Roman" w:cs="Times New Roman"/>
                <w:color w:val="000000"/>
              </w:rPr>
            </w:pPr>
            <w:r w:rsidRPr="00741E97">
              <w:rPr>
                <w:rFonts w:ascii="Times New Roman" w:eastAsia="Times New Roman" w:hAnsi="Times New Roman" w:cs="Times New Roman"/>
                <w:color w:val="000000"/>
              </w:rPr>
              <w:t>3</w:t>
            </w:r>
          </w:p>
        </w:tc>
      </w:tr>
      <w:tr w:rsidR="00741E97" w:rsidRPr="00741E97" w14:paraId="03ACB1D8" w14:textId="77777777" w:rsidTr="00741E97">
        <w:trPr>
          <w:trHeight w:val="300"/>
          <w:jc w:val="center"/>
        </w:trPr>
        <w:tc>
          <w:tcPr>
            <w:tcW w:w="900" w:type="dxa"/>
            <w:tcBorders>
              <w:top w:val="nil"/>
              <w:left w:val="single" w:sz="4" w:space="0" w:color="auto"/>
              <w:bottom w:val="single" w:sz="4" w:space="0" w:color="auto"/>
              <w:right w:val="single" w:sz="4" w:space="0" w:color="auto"/>
            </w:tcBorders>
            <w:shd w:val="clear" w:color="auto" w:fill="auto"/>
            <w:noWrap/>
            <w:vAlign w:val="bottom"/>
            <w:hideMark/>
          </w:tcPr>
          <w:p w14:paraId="263593F3" w14:textId="77777777" w:rsidR="00741E97" w:rsidRPr="00741E97" w:rsidRDefault="00741E97" w:rsidP="00741E97">
            <w:pPr>
              <w:rPr>
                <w:rFonts w:ascii="Times New Roman" w:eastAsia="Times New Roman" w:hAnsi="Times New Roman" w:cs="Times New Roman"/>
                <w:color w:val="000000"/>
              </w:rPr>
            </w:pPr>
            <w:r w:rsidRPr="00741E97">
              <w:rPr>
                <w:rFonts w:ascii="Times New Roman" w:eastAsia="Times New Roman" w:hAnsi="Times New Roman" w:cs="Times New Roman"/>
                <w:color w:val="000000"/>
              </w:rPr>
              <w:t>ACD</w:t>
            </w:r>
          </w:p>
        </w:tc>
        <w:tc>
          <w:tcPr>
            <w:tcW w:w="1256" w:type="dxa"/>
            <w:tcBorders>
              <w:top w:val="nil"/>
              <w:left w:val="nil"/>
              <w:bottom w:val="single" w:sz="4" w:space="0" w:color="auto"/>
              <w:right w:val="single" w:sz="4" w:space="0" w:color="auto"/>
            </w:tcBorders>
            <w:shd w:val="clear" w:color="auto" w:fill="auto"/>
            <w:noWrap/>
            <w:vAlign w:val="bottom"/>
            <w:hideMark/>
          </w:tcPr>
          <w:p w14:paraId="70799742" w14:textId="77777777" w:rsidR="00741E97" w:rsidRPr="00741E97" w:rsidRDefault="00741E97" w:rsidP="00741E97">
            <w:pPr>
              <w:jc w:val="center"/>
              <w:rPr>
                <w:rFonts w:ascii="Times New Roman" w:eastAsia="Times New Roman" w:hAnsi="Times New Roman" w:cs="Times New Roman"/>
                <w:color w:val="000000"/>
              </w:rPr>
            </w:pPr>
            <w:r w:rsidRPr="00741E97">
              <w:rPr>
                <w:rFonts w:ascii="Times New Roman" w:eastAsia="Times New Roman" w:hAnsi="Times New Roman" w:cs="Times New Roman"/>
                <w:color w:val="000000"/>
              </w:rPr>
              <w:t>1</w:t>
            </w:r>
          </w:p>
        </w:tc>
      </w:tr>
      <w:tr w:rsidR="00741E97" w:rsidRPr="00741E97" w14:paraId="3C098D4C" w14:textId="77777777" w:rsidTr="00741E97">
        <w:trPr>
          <w:trHeight w:val="300"/>
          <w:jc w:val="center"/>
        </w:trPr>
        <w:tc>
          <w:tcPr>
            <w:tcW w:w="900" w:type="dxa"/>
            <w:tcBorders>
              <w:top w:val="nil"/>
              <w:left w:val="single" w:sz="4" w:space="0" w:color="auto"/>
              <w:bottom w:val="single" w:sz="4" w:space="0" w:color="auto"/>
              <w:right w:val="single" w:sz="4" w:space="0" w:color="auto"/>
            </w:tcBorders>
            <w:shd w:val="clear" w:color="auto" w:fill="auto"/>
            <w:noWrap/>
            <w:vAlign w:val="bottom"/>
            <w:hideMark/>
          </w:tcPr>
          <w:p w14:paraId="132F707B" w14:textId="77777777" w:rsidR="00741E97" w:rsidRPr="00741E97" w:rsidRDefault="00741E97" w:rsidP="00741E97">
            <w:pPr>
              <w:rPr>
                <w:rFonts w:ascii="Times New Roman" w:eastAsia="Times New Roman" w:hAnsi="Times New Roman" w:cs="Times New Roman"/>
                <w:color w:val="000000"/>
              </w:rPr>
            </w:pPr>
            <w:r w:rsidRPr="00741E97">
              <w:rPr>
                <w:rFonts w:ascii="Times New Roman" w:eastAsia="Times New Roman" w:hAnsi="Times New Roman" w:cs="Times New Roman"/>
                <w:color w:val="000000"/>
              </w:rPr>
              <w:t>BCD</w:t>
            </w:r>
          </w:p>
        </w:tc>
        <w:tc>
          <w:tcPr>
            <w:tcW w:w="1256" w:type="dxa"/>
            <w:tcBorders>
              <w:top w:val="nil"/>
              <w:left w:val="nil"/>
              <w:bottom w:val="single" w:sz="4" w:space="0" w:color="auto"/>
              <w:right w:val="single" w:sz="4" w:space="0" w:color="auto"/>
            </w:tcBorders>
            <w:shd w:val="clear" w:color="auto" w:fill="auto"/>
            <w:noWrap/>
            <w:vAlign w:val="bottom"/>
            <w:hideMark/>
          </w:tcPr>
          <w:p w14:paraId="1DFADD53" w14:textId="77777777" w:rsidR="00741E97" w:rsidRPr="00741E97" w:rsidRDefault="00741E97" w:rsidP="00741E97">
            <w:pPr>
              <w:jc w:val="center"/>
              <w:rPr>
                <w:rFonts w:ascii="Times New Roman" w:eastAsia="Times New Roman" w:hAnsi="Times New Roman" w:cs="Times New Roman"/>
                <w:color w:val="000000"/>
              </w:rPr>
            </w:pPr>
            <w:r w:rsidRPr="00741E97">
              <w:rPr>
                <w:rFonts w:ascii="Times New Roman" w:eastAsia="Times New Roman" w:hAnsi="Times New Roman" w:cs="Times New Roman"/>
                <w:color w:val="000000"/>
              </w:rPr>
              <w:t>2</w:t>
            </w:r>
          </w:p>
        </w:tc>
      </w:tr>
    </w:tbl>
    <w:p w14:paraId="50117A79" w14:textId="77777777" w:rsidR="00BD424C" w:rsidRDefault="00BD424C"/>
    <w:p w14:paraId="72D5FF97" w14:textId="50842694" w:rsidR="00B804CE" w:rsidRDefault="00B804CE" w:rsidP="00B804CE">
      <w:pPr>
        <w:pStyle w:val="Caption"/>
        <w:keepNext/>
        <w:jc w:val="center"/>
      </w:pPr>
      <w:r>
        <w:t xml:space="preserve">Table </w:t>
      </w:r>
      <w:r w:rsidR="002E7D5D">
        <w:fldChar w:fldCharType="begin"/>
      </w:r>
      <w:r w:rsidR="002E7D5D">
        <w:instrText xml:space="preserve"> SEQ Table \* ARABIC </w:instrText>
      </w:r>
      <w:r w:rsidR="002E7D5D">
        <w:fldChar w:fldCharType="separate"/>
      </w:r>
      <w:r>
        <w:rPr>
          <w:noProof/>
        </w:rPr>
        <w:t>4</w:t>
      </w:r>
      <w:r w:rsidR="002E7D5D">
        <w:rPr>
          <w:noProof/>
        </w:rPr>
        <w:fldChar w:fldCharType="end"/>
      </w:r>
      <w:r>
        <w:t>: Four item purchases.</w:t>
      </w:r>
    </w:p>
    <w:tbl>
      <w:tblPr>
        <w:tblW w:w="2156" w:type="dxa"/>
        <w:jc w:val="center"/>
        <w:tblInd w:w="93" w:type="dxa"/>
        <w:tblLook w:val="04A0" w:firstRow="1" w:lastRow="0" w:firstColumn="1" w:lastColumn="0" w:noHBand="0" w:noVBand="1"/>
      </w:tblPr>
      <w:tblGrid>
        <w:gridCol w:w="900"/>
        <w:gridCol w:w="1256"/>
      </w:tblGrid>
      <w:tr w:rsidR="00B804CE" w:rsidRPr="00741E97" w14:paraId="25DF58FB" w14:textId="77777777" w:rsidTr="005C20B7">
        <w:trPr>
          <w:trHeight w:val="320"/>
          <w:jc w:val="center"/>
        </w:trPr>
        <w:tc>
          <w:tcPr>
            <w:tcW w:w="900" w:type="dxa"/>
            <w:tcBorders>
              <w:top w:val="single" w:sz="4" w:space="0" w:color="auto"/>
              <w:left w:val="single" w:sz="4" w:space="0" w:color="auto"/>
              <w:bottom w:val="double" w:sz="6" w:space="0" w:color="auto"/>
              <w:right w:val="single" w:sz="4" w:space="0" w:color="auto"/>
            </w:tcBorders>
            <w:shd w:val="clear" w:color="auto" w:fill="auto"/>
            <w:noWrap/>
            <w:vAlign w:val="bottom"/>
            <w:hideMark/>
          </w:tcPr>
          <w:p w14:paraId="16BB3F0A" w14:textId="77777777" w:rsidR="00B804CE" w:rsidRPr="00741E97" w:rsidRDefault="00B804CE" w:rsidP="005C20B7">
            <w:pPr>
              <w:rPr>
                <w:rFonts w:ascii="Times New Roman" w:eastAsia="Times New Roman" w:hAnsi="Times New Roman" w:cs="Times New Roman"/>
                <w:b/>
                <w:bCs/>
                <w:color w:val="000000"/>
              </w:rPr>
            </w:pPr>
            <w:r w:rsidRPr="00741E97">
              <w:rPr>
                <w:rFonts w:ascii="Times New Roman" w:eastAsia="Times New Roman" w:hAnsi="Times New Roman" w:cs="Times New Roman"/>
                <w:b/>
                <w:bCs/>
                <w:color w:val="000000"/>
              </w:rPr>
              <w:t>Item</w:t>
            </w:r>
          </w:p>
        </w:tc>
        <w:tc>
          <w:tcPr>
            <w:tcW w:w="1256" w:type="dxa"/>
            <w:tcBorders>
              <w:top w:val="single" w:sz="4" w:space="0" w:color="auto"/>
              <w:left w:val="nil"/>
              <w:bottom w:val="double" w:sz="6" w:space="0" w:color="auto"/>
              <w:right w:val="single" w:sz="4" w:space="0" w:color="auto"/>
            </w:tcBorders>
            <w:shd w:val="clear" w:color="auto" w:fill="auto"/>
            <w:noWrap/>
            <w:vAlign w:val="bottom"/>
            <w:hideMark/>
          </w:tcPr>
          <w:p w14:paraId="286E2DCA" w14:textId="77777777" w:rsidR="00B804CE" w:rsidRPr="00741E97" w:rsidRDefault="00B804CE" w:rsidP="005C20B7">
            <w:pPr>
              <w:jc w:val="center"/>
              <w:rPr>
                <w:rFonts w:ascii="Times New Roman" w:eastAsia="Times New Roman" w:hAnsi="Times New Roman" w:cs="Times New Roman"/>
                <w:b/>
                <w:bCs/>
                <w:color w:val="000000"/>
              </w:rPr>
            </w:pPr>
            <w:r w:rsidRPr="00741E97">
              <w:rPr>
                <w:rFonts w:ascii="Times New Roman" w:eastAsia="Times New Roman" w:hAnsi="Times New Roman" w:cs="Times New Roman"/>
                <w:b/>
                <w:bCs/>
                <w:color w:val="000000"/>
              </w:rPr>
              <w:t>Purchases</w:t>
            </w:r>
          </w:p>
        </w:tc>
      </w:tr>
      <w:tr w:rsidR="00B804CE" w:rsidRPr="00741E97" w14:paraId="0D23782A" w14:textId="77777777" w:rsidTr="005C20B7">
        <w:trPr>
          <w:trHeight w:val="320"/>
          <w:jc w:val="center"/>
        </w:trPr>
        <w:tc>
          <w:tcPr>
            <w:tcW w:w="900" w:type="dxa"/>
            <w:tcBorders>
              <w:top w:val="nil"/>
              <w:left w:val="single" w:sz="4" w:space="0" w:color="auto"/>
              <w:bottom w:val="single" w:sz="4" w:space="0" w:color="auto"/>
              <w:right w:val="single" w:sz="4" w:space="0" w:color="auto"/>
            </w:tcBorders>
            <w:shd w:val="clear" w:color="auto" w:fill="auto"/>
            <w:noWrap/>
            <w:vAlign w:val="bottom"/>
            <w:hideMark/>
          </w:tcPr>
          <w:p w14:paraId="04654A50" w14:textId="24C5935D" w:rsidR="00B804CE" w:rsidRPr="00741E97" w:rsidRDefault="00B804CE" w:rsidP="005C20B7">
            <w:pPr>
              <w:rPr>
                <w:rFonts w:ascii="Times New Roman" w:eastAsia="Times New Roman" w:hAnsi="Times New Roman" w:cs="Times New Roman"/>
                <w:color w:val="000000"/>
              </w:rPr>
            </w:pPr>
            <w:r w:rsidRPr="00741E97">
              <w:rPr>
                <w:rFonts w:ascii="Times New Roman" w:eastAsia="Times New Roman" w:hAnsi="Times New Roman" w:cs="Times New Roman"/>
                <w:color w:val="000000"/>
              </w:rPr>
              <w:t>ABC</w:t>
            </w:r>
            <w:r>
              <w:rPr>
                <w:rFonts w:ascii="Times New Roman" w:eastAsia="Times New Roman" w:hAnsi="Times New Roman" w:cs="Times New Roman"/>
                <w:color w:val="000000"/>
              </w:rPr>
              <w:t>D</w:t>
            </w:r>
          </w:p>
        </w:tc>
        <w:tc>
          <w:tcPr>
            <w:tcW w:w="1256" w:type="dxa"/>
            <w:tcBorders>
              <w:top w:val="nil"/>
              <w:left w:val="nil"/>
              <w:bottom w:val="single" w:sz="4" w:space="0" w:color="auto"/>
              <w:right w:val="single" w:sz="4" w:space="0" w:color="auto"/>
            </w:tcBorders>
            <w:shd w:val="clear" w:color="auto" w:fill="auto"/>
            <w:noWrap/>
            <w:vAlign w:val="bottom"/>
            <w:hideMark/>
          </w:tcPr>
          <w:p w14:paraId="3CE08A39" w14:textId="55241567" w:rsidR="00B804CE" w:rsidRPr="00741E97" w:rsidRDefault="00B804CE" w:rsidP="005C20B7">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r>
    </w:tbl>
    <w:p w14:paraId="792F88AD" w14:textId="77777777" w:rsidR="00B804CE" w:rsidRDefault="00B804CE"/>
    <w:p w14:paraId="2F9B45EA" w14:textId="77777777" w:rsidR="00B804CE" w:rsidRDefault="00B804CE"/>
    <w:p w14:paraId="0C77DEB7" w14:textId="7F5BECAA" w:rsidR="00D25FE2" w:rsidRPr="00115905" w:rsidRDefault="00D25FE2" w:rsidP="00D25FE2">
      <w:pPr>
        <w:spacing w:after="100" w:afterAutospacing="1" w:line="276" w:lineRule="auto"/>
      </w:pPr>
      <m:oMathPara>
        <m:oMath>
          <m:r>
            <w:rPr>
              <w:rFonts w:ascii="Cambria Math" w:hAnsi="Cambria Math"/>
            </w:rPr>
            <m:t>c</m:t>
          </m:r>
          <m:d>
            <m:dPr>
              <m:ctrlPr>
                <w:rPr>
                  <w:rFonts w:ascii="Cambria Math" w:hAnsi="Cambria Math"/>
                  <w:i/>
                </w:rPr>
              </m:ctrlPr>
            </m:dPr>
            <m:e>
              <m:r>
                <w:rPr>
                  <w:rFonts w:ascii="Cambria Math" w:hAnsi="Cambria Math"/>
                </w:rPr>
                <m:t>ABC</m:t>
              </m:r>
              <m:r>
                <w:rPr>
                  <w:rFonts w:ascii="Cambria Math" w:hAnsi="Cambria Math" w:hint="eastAsia"/>
                </w:rPr>
                <m:t>→</m:t>
              </m:r>
              <m:r>
                <w:rPr>
                  <w:rFonts w:ascii="Cambria Math" w:hAnsi="Cambria Math"/>
                </w:rPr>
                <m:t>D</m:t>
              </m:r>
            </m:e>
          </m:d>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m:rPr>
                      <m:sty m:val="p"/>
                    </m:rPr>
                    <w:rPr>
                      <w:rFonts w:ascii="Cambria Math" w:hAnsi="Cambria Math"/>
                    </w:rPr>
                    <m:t>customers who bought ABC and D</m:t>
                  </m:r>
                </m:e>
              </m:d>
            </m:num>
            <m:den>
              <m:r>
                <w:rPr>
                  <w:rFonts w:ascii="Cambria Math" w:hAnsi="Cambria Math"/>
                </w:rPr>
                <m:t>#</m:t>
              </m:r>
              <m:d>
                <m:dPr>
                  <m:begChr m:val="{"/>
                  <m:endChr m:val="}"/>
                  <m:ctrlPr>
                    <w:rPr>
                      <w:rFonts w:ascii="Cambria Math" w:hAnsi="Cambria Math"/>
                      <w:i/>
                    </w:rPr>
                  </m:ctrlPr>
                </m:dPr>
                <m:e>
                  <m:r>
                    <m:rPr>
                      <m:sty m:val="p"/>
                    </m:rPr>
                    <w:rPr>
                      <w:rFonts w:ascii="Cambria Math" w:hAnsi="Cambria Math"/>
                    </w:rPr>
                    <m:t>customers who bought ABC</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=0.2</m:t>
          </m:r>
        </m:oMath>
      </m:oMathPara>
    </w:p>
    <w:p w14:paraId="6DA7C7E7" w14:textId="65E0997A" w:rsidR="00D25FE2" w:rsidRPr="00A43C5D" w:rsidRDefault="00D25FE2" w:rsidP="00D25FE2">
      <w:pPr>
        <w:spacing w:after="100" w:afterAutospacing="1" w:line="276" w:lineRule="auto"/>
      </w:pPr>
      <m:oMathPara>
        <m:oMath>
          <m:r>
            <w:rPr>
              <w:rFonts w:ascii="Cambria Math" w:hAnsi="Cambria Math"/>
            </w:rPr>
            <m:t>c</m:t>
          </m:r>
          <m:d>
            <m:dPr>
              <m:ctrlPr>
                <w:rPr>
                  <w:rFonts w:ascii="Cambria Math" w:hAnsi="Cambria Math"/>
                  <w:i/>
                </w:rPr>
              </m:ctrlPr>
            </m:dPr>
            <m:e>
              <m:r>
                <w:rPr>
                  <w:rFonts w:ascii="Cambria Math" w:hAnsi="Cambria Math"/>
                </w:rPr>
                <m:t>AB</m:t>
              </m:r>
              <m:r>
                <w:rPr>
                  <w:rFonts w:ascii="Cambria Math" w:hAnsi="Cambria Math" w:hint="eastAsia"/>
                </w:rPr>
                <m:t>→</m:t>
              </m:r>
              <m:r>
                <w:rPr>
                  <w:rFonts w:ascii="Cambria Math" w:hAnsi="Cambria Math" w:cs="Cambria Math"/>
                </w:rPr>
                <m:t>C</m:t>
              </m:r>
              <m:r>
                <w:rPr>
                  <w:rFonts w:ascii="Cambria Math" w:hAnsi="Cambria Math"/>
                </w:rPr>
                <m:t>D</m:t>
              </m:r>
            </m:e>
          </m:d>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m:rPr>
                      <m:sty m:val="p"/>
                    </m:rPr>
                    <w:rPr>
                      <w:rFonts w:ascii="Cambria Math" w:hAnsi="Cambria Math"/>
                    </w:rPr>
                    <m:t>customers who bought AB and CD</m:t>
                  </m:r>
                </m:e>
              </m:d>
            </m:num>
            <m:den>
              <m:r>
                <w:rPr>
                  <w:rFonts w:ascii="Cambria Math" w:hAnsi="Cambria Math"/>
                </w:rPr>
                <m:t>#</m:t>
              </m:r>
              <m:d>
                <m:dPr>
                  <m:begChr m:val="{"/>
                  <m:endChr m:val="}"/>
                  <m:ctrlPr>
                    <w:rPr>
                      <w:rFonts w:ascii="Cambria Math" w:hAnsi="Cambria Math"/>
                      <w:i/>
                    </w:rPr>
                  </m:ctrlPr>
                </m:dPr>
                <m:e>
                  <m:r>
                    <m:rPr>
                      <m:sty m:val="p"/>
                    </m:rPr>
                    <w:rPr>
                      <w:rFonts w:ascii="Cambria Math" w:hAnsi="Cambria Math"/>
                    </w:rPr>
                    <m:t>customers who bought CD</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20</m:t>
              </m:r>
            </m:den>
          </m:f>
          <m:r>
            <w:rPr>
              <w:rFonts w:ascii="Cambria Math" w:hAnsi="Cambria Math"/>
            </w:rPr>
            <m:t>=0.05</m:t>
          </m:r>
        </m:oMath>
      </m:oMathPara>
    </w:p>
    <w:p w14:paraId="0F50D832" w14:textId="625204B6" w:rsidR="00BD424C" w:rsidRDefault="00E9000D">
      <w:r>
        <w:t xml:space="preserve">This example </w:t>
      </w:r>
      <w:r w:rsidR="005C20B7">
        <w:t>proves that as we move an item from the antecedent to the consequent the c</w:t>
      </w:r>
      <w:r w:rsidR="008D1C81">
        <w:t xml:space="preserve">onfidence cannot improve. Moreover, as we continue to decrease the sample of the population by increasing the group size (e.g. P(A|B) to P(AB|C)) for our data, each data point holds more weight, thus larger sample contribution.  </w:t>
      </w:r>
      <w:r w:rsidR="00741E97">
        <w:br w:type="page"/>
      </w:r>
    </w:p>
    <w:p w14:paraId="6210CE88" w14:textId="77777777" w:rsidR="00741E97" w:rsidRDefault="00741E97" w:rsidP="006C7CD7"/>
    <w:p w14:paraId="2DFDB67F" w14:textId="50B6297A" w:rsidR="00EB2D1E" w:rsidRDefault="00EB2D1E" w:rsidP="007246A8">
      <w:pPr>
        <w:spacing w:after="100" w:afterAutospacing="1" w:line="276" w:lineRule="auto"/>
        <w:ind w:left="720" w:hanging="720"/>
        <w:rPr>
          <w:i/>
        </w:rPr>
      </w:pPr>
      <w:r>
        <w:rPr>
          <w:b/>
        </w:rPr>
        <w:t>3.10 )</w:t>
      </w:r>
      <w:r>
        <w:t xml:space="preserve"> </w:t>
      </w:r>
      <w:r w:rsidR="007246A8">
        <w:t xml:space="preserve"> </w:t>
      </w:r>
      <w:r w:rsidR="007246A8" w:rsidRPr="007246A8">
        <w:rPr>
          <w:i/>
        </w:rPr>
        <w:t>Associated with each item sold in basket analysis, if we also have a number indicating how much the customer enjoyed the product, for example, on a scale of 0 to 10, how can you use this extra information to calculate which item to propose to a customer?</w:t>
      </w:r>
    </w:p>
    <w:p w14:paraId="49527D65" w14:textId="6048CD99" w:rsidR="0089563E" w:rsidRPr="006A5C58" w:rsidRDefault="006A5C58" w:rsidP="006A5C58">
      <w:pPr>
        <w:spacing w:after="100" w:afterAutospacing="1" w:line="276" w:lineRule="auto"/>
        <w:rPr>
          <w:sz w:val="22"/>
        </w:rPr>
      </w:pPr>
      <w:r>
        <w:t xml:space="preserve">Using the scale value </w:t>
      </w:r>
      <m:oMath>
        <m:d>
          <m:dPr>
            <m:ctrlPr>
              <w:rPr>
                <w:rFonts w:ascii="Cambria Math" w:hAnsi="Cambria Math"/>
                <w:i/>
              </w:rPr>
            </m:ctrlPr>
          </m:dPr>
          <m:e>
            <m:r>
              <w:rPr>
                <w:rFonts w:ascii="Cambria Math" w:hAnsi="Cambria Math"/>
              </w:rPr>
              <m:t>0-10</m:t>
            </m:r>
          </m:e>
        </m:d>
      </m:oMath>
      <w:r>
        <w:t xml:space="preserve"> for each customer for a particular variable, we can begin to build a correlation matrix for the variables, which can be used to study the correlations between products and a particle variable, such as amount of enjoyment. Using this correlation, the store can begin to recommend similar items or items that are typically correlated with the original purchased item that provided the customer enjoyment. A decision threshold value can be utilized to recommend items, such that a low level of enjoyment decreases the probability of recommending similar products and vice versa, such as a value of 7.0 out of 10.0.</w:t>
      </w:r>
    </w:p>
    <w:sectPr w:rsidR="0089563E" w:rsidRPr="006A5C58" w:rsidSect="00B71B9F">
      <w:headerReference w:type="default" r:id="rId7"/>
      <w:footerReference w:type="even"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6E768A" w14:textId="77777777" w:rsidR="006A6E39" w:rsidRDefault="006A6E39" w:rsidP="00725F55">
      <w:r>
        <w:separator/>
      </w:r>
    </w:p>
  </w:endnote>
  <w:endnote w:type="continuationSeparator" w:id="0">
    <w:p w14:paraId="56CA6F94" w14:textId="77777777" w:rsidR="006A6E39" w:rsidRDefault="006A6E39" w:rsidP="00725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7B91C" w14:textId="77777777" w:rsidR="006A6E39" w:rsidRDefault="006A6E39" w:rsidP="00725F5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9952B95" w14:textId="77777777" w:rsidR="006A6E39" w:rsidRDefault="006A6E39" w:rsidP="00725F55">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968280" w14:textId="77777777" w:rsidR="006A6E39" w:rsidRDefault="006A6E39" w:rsidP="00725F5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E7D5D">
      <w:rPr>
        <w:rStyle w:val="PageNumber"/>
        <w:noProof/>
      </w:rPr>
      <w:t>1</w:t>
    </w:r>
    <w:r>
      <w:rPr>
        <w:rStyle w:val="PageNumber"/>
      </w:rPr>
      <w:fldChar w:fldCharType="end"/>
    </w:r>
  </w:p>
  <w:p w14:paraId="3B193EAB" w14:textId="77777777" w:rsidR="006A6E39" w:rsidRDefault="002E7D5D" w:rsidP="00725F55">
    <w:pPr>
      <w:pStyle w:val="Footer"/>
      <w:ind w:right="360"/>
    </w:pPr>
    <w:hyperlink r:id="rId1" w:history="1">
      <w:r w:rsidR="006A6E39" w:rsidRPr="00473CFD">
        <w:rPr>
          <w:rStyle w:val="Hyperlink"/>
        </w:rPr>
        <w:t>istewar1@vols.utk.edu</w:t>
      </w:r>
    </w:hyperlink>
    <w:r w:rsidR="006A6E39">
      <w:t xml:space="preserve"> </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746FEB" w14:textId="77777777" w:rsidR="006A6E39" w:rsidRDefault="006A6E39" w:rsidP="00725F55">
      <w:r>
        <w:separator/>
      </w:r>
    </w:p>
  </w:footnote>
  <w:footnote w:type="continuationSeparator" w:id="0">
    <w:p w14:paraId="01C2998B" w14:textId="77777777" w:rsidR="006A6E39" w:rsidRDefault="006A6E39" w:rsidP="00725F55">
      <w:r>
        <w:continuationSeparator/>
      </w:r>
    </w:p>
  </w:footnote>
  <w:footnote w:id="1">
    <w:p w14:paraId="1E4B624F" w14:textId="77777777" w:rsidR="00F95DDC" w:rsidRDefault="00391C96" w:rsidP="008C194A">
      <w:pPr>
        <w:pStyle w:val="FootnoteText"/>
        <w:ind w:left="90" w:hanging="90"/>
        <w:rPr>
          <w:sz w:val="20"/>
        </w:rPr>
      </w:pPr>
      <w:r>
        <w:rPr>
          <w:rStyle w:val="FootnoteReference"/>
        </w:rPr>
        <w:footnoteRef/>
      </w:r>
      <w:r w:rsidRPr="00391C96">
        <w:rPr>
          <w:sz w:val="20"/>
        </w:rPr>
        <w:t xml:space="preserve">Alpaydin, E. </w:t>
      </w:r>
      <w:r w:rsidRPr="00391C96">
        <w:rPr>
          <w:i/>
          <w:sz w:val="20"/>
        </w:rPr>
        <w:t>Introduction to Machine Learning</w:t>
      </w:r>
      <w:r w:rsidRPr="00391C96">
        <w:rPr>
          <w:sz w:val="20"/>
        </w:rPr>
        <w:t>. 3</w:t>
      </w:r>
      <w:r w:rsidRPr="00391C96">
        <w:rPr>
          <w:sz w:val="20"/>
          <w:vertAlign w:val="superscript"/>
        </w:rPr>
        <w:t>rd</w:t>
      </w:r>
      <w:r w:rsidRPr="00391C96">
        <w:rPr>
          <w:sz w:val="20"/>
        </w:rPr>
        <w:t xml:space="preserve"> Edition. MIT Press, Cambridge, MA. 2014. </w:t>
      </w:r>
    </w:p>
    <w:p w14:paraId="17976DFC" w14:textId="2A3F5344" w:rsidR="00391C96" w:rsidRPr="00391C96" w:rsidRDefault="00F95DDC" w:rsidP="008C194A">
      <w:pPr>
        <w:pStyle w:val="FootnoteText"/>
        <w:ind w:left="90" w:hanging="90"/>
      </w:pPr>
      <w:r>
        <w:rPr>
          <w:sz w:val="20"/>
        </w:rPr>
        <w:t xml:space="preserve">  </w:t>
      </w:r>
      <w:r w:rsidR="00391C96" w:rsidRPr="00391C96">
        <w:rPr>
          <w:sz w:val="20"/>
        </w:rPr>
        <w:t>ISBN-978-81-5078-6.</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5DD4DC" w14:textId="6780EA33" w:rsidR="006A6E39" w:rsidRDefault="006A6E39">
    <w:pPr>
      <w:pStyle w:val="Header"/>
    </w:pPr>
    <w:r>
      <w:t>COSC 528</w:t>
    </w:r>
    <w:r>
      <w:tab/>
    </w:r>
    <w:r w:rsidRPr="00725F55">
      <w:rPr>
        <w:b/>
      </w:rPr>
      <w:t>Homework #</w:t>
    </w:r>
    <w:r>
      <w:rPr>
        <w:b/>
      </w:rPr>
      <w:t>2</w:t>
    </w:r>
    <w:r>
      <w:tab/>
      <w:t>Ian R. Stewart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6"/>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5F55"/>
    <w:rsid w:val="00011B2F"/>
    <w:rsid w:val="00013C9A"/>
    <w:rsid w:val="000142B8"/>
    <w:rsid w:val="000721B1"/>
    <w:rsid w:val="00083780"/>
    <w:rsid w:val="000A3B2A"/>
    <w:rsid w:val="000B67DD"/>
    <w:rsid w:val="000F3503"/>
    <w:rsid w:val="000F66BC"/>
    <w:rsid w:val="00115905"/>
    <w:rsid w:val="0013326B"/>
    <w:rsid w:val="00141679"/>
    <w:rsid w:val="0015486D"/>
    <w:rsid w:val="001804B0"/>
    <w:rsid w:val="001A5167"/>
    <w:rsid w:val="002151D3"/>
    <w:rsid w:val="00244BE4"/>
    <w:rsid w:val="002520F3"/>
    <w:rsid w:val="002A490A"/>
    <w:rsid w:val="002B4C96"/>
    <w:rsid w:val="002E7D5D"/>
    <w:rsid w:val="00324B93"/>
    <w:rsid w:val="003331B2"/>
    <w:rsid w:val="0033322B"/>
    <w:rsid w:val="0035092F"/>
    <w:rsid w:val="00391C96"/>
    <w:rsid w:val="003B2B88"/>
    <w:rsid w:val="00475F00"/>
    <w:rsid w:val="00482473"/>
    <w:rsid w:val="004A2559"/>
    <w:rsid w:val="004D1007"/>
    <w:rsid w:val="004F5DD0"/>
    <w:rsid w:val="004F7745"/>
    <w:rsid w:val="005546A2"/>
    <w:rsid w:val="00555FA1"/>
    <w:rsid w:val="005566AE"/>
    <w:rsid w:val="005A4344"/>
    <w:rsid w:val="005A4D07"/>
    <w:rsid w:val="005C20B7"/>
    <w:rsid w:val="005C2F5C"/>
    <w:rsid w:val="005D0CB0"/>
    <w:rsid w:val="005F6784"/>
    <w:rsid w:val="00611CAC"/>
    <w:rsid w:val="00634ACF"/>
    <w:rsid w:val="006424D2"/>
    <w:rsid w:val="006553A3"/>
    <w:rsid w:val="00682BB8"/>
    <w:rsid w:val="006A5C58"/>
    <w:rsid w:val="006A6E39"/>
    <w:rsid w:val="006C7CD7"/>
    <w:rsid w:val="006D41F1"/>
    <w:rsid w:val="00712C59"/>
    <w:rsid w:val="007246A8"/>
    <w:rsid w:val="00725F55"/>
    <w:rsid w:val="007363E7"/>
    <w:rsid w:val="00741E97"/>
    <w:rsid w:val="00746B0E"/>
    <w:rsid w:val="00783F29"/>
    <w:rsid w:val="007D6B70"/>
    <w:rsid w:val="008801C9"/>
    <w:rsid w:val="008845D7"/>
    <w:rsid w:val="0089563E"/>
    <w:rsid w:val="008A080E"/>
    <w:rsid w:val="008C194A"/>
    <w:rsid w:val="008C772C"/>
    <w:rsid w:val="008D1C81"/>
    <w:rsid w:val="009018E5"/>
    <w:rsid w:val="00917CC1"/>
    <w:rsid w:val="00A2635F"/>
    <w:rsid w:val="00A3389B"/>
    <w:rsid w:val="00A33D0E"/>
    <w:rsid w:val="00A43C5D"/>
    <w:rsid w:val="00A47FA0"/>
    <w:rsid w:val="00AA129D"/>
    <w:rsid w:val="00AB014C"/>
    <w:rsid w:val="00AC53CA"/>
    <w:rsid w:val="00AD4D3F"/>
    <w:rsid w:val="00B2086E"/>
    <w:rsid w:val="00B30DB7"/>
    <w:rsid w:val="00B32E46"/>
    <w:rsid w:val="00B47D54"/>
    <w:rsid w:val="00B56421"/>
    <w:rsid w:val="00B71B9F"/>
    <w:rsid w:val="00B804CE"/>
    <w:rsid w:val="00BA31E9"/>
    <w:rsid w:val="00BD424C"/>
    <w:rsid w:val="00BE06D2"/>
    <w:rsid w:val="00BF7424"/>
    <w:rsid w:val="00C76BDE"/>
    <w:rsid w:val="00CA16B2"/>
    <w:rsid w:val="00CC3D89"/>
    <w:rsid w:val="00CD1602"/>
    <w:rsid w:val="00CF63E3"/>
    <w:rsid w:val="00D13353"/>
    <w:rsid w:val="00D25FE2"/>
    <w:rsid w:val="00D31918"/>
    <w:rsid w:val="00D368FA"/>
    <w:rsid w:val="00DA50D8"/>
    <w:rsid w:val="00E211A9"/>
    <w:rsid w:val="00E503E1"/>
    <w:rsid w:val="00E9000D"/>
    <w:rsid w:val="00EB2D1E"/>
    <w:rsid w:val="00EC04FA"/>
    <w:rsid w:val="00ED3071"/>
    <w:rsid w:val="00ED3A6E"/>
    <w:rsid w:val="00EF7BC5"/>
    <w:rsid w:val="00F4144E"/>
    <w:rsid w:val="00F95DDC"/>
    <w:rsid w:val="00FA6C0B"/>
    <w:rsid w:val="00FC56F1"/>
    <w:rsid w:val="00FD18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33B3FB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5F55"/>
    <w:pPr>
      <w:tabs>
        <w:tab w:val="center" w:pos="4320"/>
        <w:tab w:val="right" w:pos="8640"/>
      </w:tabs>
    </w:pPr>
  </w:style>
  <w:style w:type="character" w:customStyle="1" w:styleId="HeaderChar">
    <w:name w:val="Header Char"/>
    <w:basedOn w:val="DefaultParagraphFont"/>
    <w:link w:val="Header"/>
    <w:uiPriority w:val="99"/>
    <w:rsid w:val="00725F55"/>
  </w:style>
  <w:style w:type="paragraph" w:styleId="Footer">
    <w:name w:val="footer"/>
    <w:basedOn w:val="Normal"/>
    <w:link w:val="FooterChar"/>
    <w:uiPriority w:val="99"/>
    <w:unhideWhenUsed/>
    <w:rsid w:val="00725F55"/>
    <w:pPr>
      <w:tabs>
        <w:tab w:val="center" w:pos="4320"/>
        <w:tab w:val="right" w:pos="8640"/>
      </w:tabs>
    </w:pPr>
  </w:style>
  <w:style w:type="character" w:customStyle="1" w:styleId="FooterChar">
    <w:name w:val="Footer Char"/>
    <w:basedOn w:val="DefaultParagraphFont"/>
    <w:link w:val="Footer"/>
    <w:uiPriority w:val="99"/>
    <w:rsid w:val="00725F55"/>
  </w:style>
  <w:style w:type="character" w:styleId="PageNumber">
    <w:name w:val="page number"/>
    <w:basedOn w:val="DefaultParagraphFont"/>
    <w:uiPriority w:val="99"/>
    <w:semiHidden/>
    <w:unhideWhenUsed/>
    <w:rsid w:val="00725F55"/>
  </w:style>
  <w:style w:type="character" w:styleId="Hyperlink">
    <w:name w:val="Hyperlink"/>
    <w:basedOn w:val="DefaultParagraphFont"/>
    <w:uiPriority w:val="99"/>
    <w:unhideWhenUsed/>
    <w:rsid w:val="00725F55"/>
    <w:rPr>
      <w:color w:val="0000FF" w:themeColor="hyperlink"/>
      <w:u w:val="single"/>
    </w:rPr>
  </w:style>
  <w:style w:type="character" w:styleId="PlaceholderText">
    <w:name w:val="Placeholder Text"/>
    <w:basedOn w:val="DefaultParagraphFont"/>
    <w:uiPriority w:val="99"/>
    <w:semiHidden/>
    <w:rsid w:val="00A3389B"/>
    <w:rPr>
      <w:color w:val="808080"/>
    </w:rPr>
  </w:style>
  <w:style w:type="paragraph" w:styleId="BalloonText">
    <w:name w:val="Balloon Text"/>
    <w:basedOn w:val="Normal"/>
    <w:link w:val="BalloonTextChar"/>
    <w:uiPriority w:val="99"/>
    <w:semiHidden/>
    <w:unhideWhenUsed/>
    <w:rsid w:val="00A3389B"/>
    <w:rPr>
      <w:rFonts w:ascii="Lucida Grande" w:hAnsi="Lucida Grande"/>
      <w:sz w:val="18"/>
      <w:szCs w:val="18"/>
    </w:rPr>
  </w:style>
  <w:style w:type="character" w:customStyle="1" w:styleId="BalloonTextChar">
    <w:name w:val="Balloon Text Char"/>
    <w:basedOn w:val="DefaultParagraphFont"/>
    <w:link w:val="BalloonText"/>
    <w:uiPriority w:val="99"/>
    <w:semiHidden/>
    <w:rsid w:val="00A3389B"/>
    <w:rPr>
      <w:rFonts w:ascii="Lucida Grande" w:hAnsi="Lucida Grande"/>
      <w:sz w:val="18"/>
      <w:szCs w:val="18"/>
    </w:rPr>
  </w:style>
  <w:style w:type="paragraph" w:styleId="Caption">
    <w:name w:val="caption"/>
    <w:basedOn w:val="Normal"/>
    <w:next w:val="Normal"/>
    <w:uiPriority w:val="35"/>
    <w:unhideWhenUsed/>
    <w:qFormat/>
    <w:rsid w:val="00B2086E"/>
    <w:pPr>
      <w:spacing w:after="200"/>
    </w:pPr>
    <w:rPr>
      <w:b/>
      <w:bCs/>
      <w:sz w:val="18"/>
      <w:szCs w:val="18"/>
    </w:rPr>
  </w:style>
  <w:style w:type="paragraph" w:styleId="FootnoteText">
    <w:name w:val="footnote text"/>
    <w:basedOn w:val="Normal"/>
    <w:link w:val="FootnoteTextChar"/>
    <w:uiPriority w:val="99"/>
    <w:unhideWhenUsed/>
    <w:rsid w:val="00391C96"/>
  </w:style>
  <w:style w:type="character" w:customStyle="1" w:styleId="FootnoteTextChar">
    <w:name w:val="Footnote Text Char"/>
    <w:basedOn w:val="DefaultParagraphFont"/>
    <w:link w:val="FootnoteText"/>
    <w:uiPriority w:val="99"/>
    <w:rsid w:val="00391C96"/>
  </w:style>
  <w:style w:type="character" w:styleId="FootnoteReference">
    <w:name w:val="footnote reference"/>
    <w:basedOn w:val="DefaultParagraphFont"/>
    <w:uiPriority w:val="99"/>
    <w:unhideWhenUsed/>
    <w:rsid w:val="00391C96"/>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5F55"/>
    <w:pPr>
      <w:tabs>
        <w:tab w:val="center" w:pos="4320"/>
        <w:tab w:val="right" w:pos="8640"/>
      </w:tabs>
    </w:pPr>
  </w:style>
  <w:style w:type="character" w:customStyle="1" w:styleId="HeaderChar">
    <w:name w:val="Header Char"/>
    <w:basedOn w:val="DefaultParagraphFont"/>
    <w:link w:val="Header"/>
    <w:uiPriority w:val="99"/>
    <w:rsid w:val="00725F55"/>
  </w:style>
  <w:style w:type="paragraph" w:styleId="Footer">
    <w:name w:val="footer"/>
    <w:basedOn w:val="Normal"/>
    <w:link w:val="FooterChar"/>
    <w:uiPriority w:val="99"/>
    <w:unhideWhenUsed/>
    <w:rsid w:val="00725F55"/>
    <w:pPr>
      <w:tabs>
        <w:tab w:val="center" w:pos="4320"/>
        <w:tab w:val="right" w:pos="8640"/>
      </w:tabs>
    </w:pPr>
  </w:style>
  <w:style w:type="character" w:customStyle="1" w:styleId="FooterChar">
    <w:name w:val="Footer Char"/>
    <w:basedOn w:val="DefaultParagraphFont"/>
    <w:link w:val="Footer"/>
    <w:uiPriority w:val="99"/>
    <w:rsid w:val="00725F55"/>
  </w:style>
  <w:style w:type="character" w:styleId="PageNumber">
    <w:name w:val="page number"/>
    <w:basedOn w:val="DefaultParagraphFont"/>
    <w:uiPriority w:val="99"/>
    <w:semiHidden/>
    <w:unhideWhenUsed/>
    <w:rsid w:val="00725F55"/>
  </w:style>
  <w:style w:type="character" w:styleId="Hyperlink">
    <w:name w:val="Hyperlink"/>
    <w:basedOn w:val="DefaultParagraphFont"/>
    <w:uiPriority w:val="99"/>
    <w:unhideWhenUsed/>
    <w:rsid w:val="00725F55"/>
    <w:rPr>
      <w:color w:val="0000FF" w:themeColor="hyperlink"/>
      <w:u w:val="single"/>
    </w:rPr>
  </w:style>
  <w:style w:type="character" w:styleId="PlaceholderText">
    <w:name w:val="Placeholder Text"/>
    <w:basedOn w:val="DefaultParagraphFont"/>
    <w:uiPriority w:val="99"/>
    <w:semiHidden/>
    <w:rsid w:val="00A3389B"/>
    <w:rPr>
      <w:color w:val="808080"/>
    </w:rPr>
  </w:style>
  <w:style w:type="paragraph" w:styleId="BalloonText">
    <w:name w:val="Balloon Text"/>
    <w:basedOn w:val="Normal"/>
    <w:link w:val="BalloonTextChar"/>
    <w:uiPriority w:val="99"/>
    <w:semiHidden/>
    <w:unhideWhenUsed/>
    <w:rsid w:val="00A3389B"/>
    <w:rPr>
      <w:rFonts w:ascii="Lucida Grande" w:hAnsi="Lucida Grande"/>
      <w:sz w:val="18"/>
      <w:szCs w:val="18"/>
    </w:rPr>
  </w:style>
  <w:style w:type="character" w:customStyle="1" w:styleId="BalloonTextChar">
    <w:name w:val="Balloon Text Char"/>
    <w:basedOn w:val="DefaultParagraphFont"/>
    <w:link w:val="BalloonText"/>
    <w:uiPriority w:val="99"/>
    <w:semiHidden/>
    <w:rsid w:val="00A3389B"/>
    <w:rPr>
      <w:rFonts w:ascii="Lucida Grande" w:hAnsi="Lucida Grande"/>
      <w:sz w:val="18"/>
      <w:szCs w:val="18"/>
    </w:rPr>
  </w:style>
  <w:style w:type="paragraph" w:styleId="Caption">
    <w:name w:val="caption"/>
    <w:basedOn w:val="Normal"/>
    <w:next w:val="Normal"/>
    <w:uiPriority w:val="35"/>
    <w:unhideWhenUsed/>
    <w:qFormat/>
    <w:rsid w:val="00B2086E"/>
    <w:pPr>
      <w:spacing w:after="200"/>
    </w:pPr>
    <w:rPr>
      <w:b/>
      <w:bCs/>
      <w:sz w:val="18"/>
      <w:szCs w:val="18"/>
    </w:rPr>
  </w:style>
  <w:style w:type="paragraph" w:styleId="FootnoteText">
    <w:name w:val="footnote text"/>
    <w:basedOn w:val="Normal"/>
    <w:link w:val="FootnoteTextChar"/>
    <w:uiPriority w:val="99"/>
    <w:unhideWhenUsed/>
    <w:rsid w:val="00391C96"/>
  </w:style>
  <w:style w:type="character" w:customStyle="1" w:styleId="FootnoteTextChar">
    <w:name w:val="Footnote Text Char"/>
    <w:basedOn w:val="DefaultParagraphFont"/>
    <w:link w:val="FootnoteText"/>
    <w:uiPriority w:val="99"/>
    <w:rsid w:val="00391C96"/>
  </w:style>
  <w:style w:type="character" w:styleId="FootnoteReference">
    <w:name w:val="footnote reference"/>
    <w:basedOn w:val="DefaultParagraphFont"/>
    <w:uiPriority w:val="99"/>
    <w:unhideWhenUsed/>
    <w:rsid w:val="00391C9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722222">
      <w:bodyDiv w:val="1"/>
      <w:marLeft w:val="0"/>
      <w:marRight w:val="0"/>
      <w:marTop w:val="0"/>
      <w:marBottom w:val="0"/>
      <w:divBdr>
        <w:top w:val="none" w:sz="0" w:space="0" w:color="auto"/>
        <w:left w:val="none" w:sz="0" w:space="0" w:color="auto"/>
        <w:bottom w:val="none" w:sz="0" w:space="0" w:color="auto"/>
        <w:right w:val="none" w:sz="0" w:space="0" w:color="auto"/>
      </w:divBdr>
    </w:div>
    <w:div w:id="85461796">
      <w:bodyDiv w:val="1"/>
      <w:marLeft w:val="0"/>
      <w:marRight w:val="0"/>
      <w:marTop w:val="0"/>
      <w:marBottom w:val="0"/>
      <w:divBdr>
        <w:top w:val="none" w:sz="0" w:space="0" w:color="auto"/>
        <w:left w:val="none" w:sz="0" w:space="0" w:color="auto"/>
        <w:bottom w:val="none" w:sz="0" w:space="0" w:color="auto"/>
        <w:right w:val="none" w:sz="0" w:space="0" w:color="auto"/>
      </w:divBdr>
    </w:div>
    <w:div w:id="148182212">
      <w:bodyDiv w:val="1"/>
      <w:marLeft w:val="0"/>
      <w:marRight w:val="0"/>
      <w:marTop w:val="0"/>
      <w:marBottom w:val="0"/>
      <w:divBdr>
        <w:top w:val="none" w:sz="0" w:space="0" w:color="auto"/>
        <w:left w:val="none" w:sz="0" w:space="0" w:color="auto"/>
        <w:bottom w:val="none" w:sz="0" w:space="0" w:color="auto"/>
        <w:right w:val="none" w:sz="0" w:space="0" w:color="auto"/>
      </w:divBdr>
    </w:div>
    <w:div w:id="203100035">
      <w:bodyDiv w:val="1"/>
      <w:marLeft w:val="0"/>
      <w:marRight w:val="0"/>
      <w:marTop w:val="0"/>
      <w:marBottom w:val="0"/>
      <w:divBdr>
        <w:top w:val="none" w:sz="0" w:space="0" w:color="auto"/>
        <w:left w:val="none" w:sz="0" w:space="0" w:color="auto"/>
        <w:bottom w:val="none" w:sz="0" w:space="0" w:color="auto"/>
        <w:right w:val="none" w:sz="0" w:space="0" w:color="auto"/>
      </w:divBdr>
    </w:div>
    <w:div w:id="1060858022">
      <w:bodyDiv w:val="1"/>
      <w:marLeft w:val="0"/>
      <w:marRight w:val="0"/>
      <w:marTop w:val="0"/>
      <w:marBottom w:val="0"/>
      <w:divBdr>
        <w:top w:val="none" w:sz="0" w:space="0" w:color="auto"/>
        <w:left w:val="none" w:sz="0" w:space="0" w:color="auto"/>
        <w:bottom w:val="none" w:sz="0" w:space="0" w:color="auto"/>
        <w:right w:val="none" w:sz="0" w:space="0" w:color="auto"/>
      </w:divBdr>
    </w:div>
    <w:div w:id="151619263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_rels/footer2.xml.rels><?xml version="1.0" encoding="UTF-8" standalone="yes"?>
<Relationships xmlns="http://schemas.openxmlformats.org/package/2006/relationships"><Relationship Id="rId1" Type="http://schemas.openxmlformats.org/officeDocument/2006/relationships/hyperlink" Target="mailto:istewar1@vols.utk.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319</TotalTime>
  <Pages>4</Pages>
  <Words>749</Words>
  <Characters>4272</Characters>
  <Application>Microsoft Macintosh Word</Application>
  <DocSecurity>0</DocSecurity>
  <Lines>35</Lines>
  <Paragraphs>10</Paragraphs>
  <ScaleCrop>false</ScaleCrop>
  <Company>Oak Ridge National Laboratory</Company>
  <LinksUpToDate>false</LinksUpToDate>
  <CharactersWithSpaces>5011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Stewart, Ian R.</dc:creator>
  <cp:keywords/>
  <dc:description/>
  <cp:lastModifiedBy>Stewart, Ian R.</cp:lastModifiedBy>
  <cp:revision>85</cp:revision>
  <dcterms:created xsi:type="dcterms:W3CDTF">2018-09-07T13:12:00Z</dcterms:created>
  <dcterms:modified xsi:type="dcterms:W3CDTF">2018-09-18T18:03:00Z</dcterms:modified>
</cp:coreProperties>
</file>