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38FA45" w14:textId="2D341BD4" w:rsidR="00F22536" w:rsidRPr="005960C3" w:rsidRDefault="005960C3" w:rsidP="00F22536">
      <w:pPr>
        <w:pStyle w:val="Heading1"/>
        <w:jc w:val="center"/>
      </w:pPr>
      <w:r>
        <w:rPr>
          <w:i/>
        </w:rPr>
        <w:t>k</w:t>
      </w:r>
      <w:r>
        <w:t>-NN Clustering and Decision Tree Analysis</w:t>
      </w:r>
    </w:p>
    <w:p w14:paraId="16E5FBF1" w14:textId="77777777" w:rsidR="00F22536" w:rsidRDefault="00F22536" w:rsidP="00F22536"/>
    <w:p w14:paraId="0FFEFBFC" w14:textId="77777777" w:rsidR="00F22536" w:rsidRDefault="00F22536" w:rsidP="00F22536">
      <w:pPr>
        <w:jc w:val="center"/>
      </w:pPr>
      <w:r>
        <w:t>Ian R. Stewart</w:t>
      </w:r>
    </w:p>
    <w:p w14:paraId="4415A533" w14:textId="77777777" w:rsidR="00F22536" w:rsidRDefault="00F22536" w:rsidP="00F22536">
      <w:pPr>
        <w:jc w:val="center"/>
      </w:pPr>
    </w:p>
    <w:p w14:paraId="0D6F6747" w14:textId="0B322830" w:rsidR="00F22536" w:rsidRDefault="005960C3" w:rsidP="00F22536">
      <w:pPr>
        <w:jc w:val="center"/>
      </w:pPr>
      <w:r>
        <w:t>November 5</w:t>
      </w:r>
      <w:r w:rsidRPr="005960C3">
        <w:rPr>
          <w:vertAlign w:val="superscript"/>
        </w:rPr>
        <w:t>th</w:t>
      </w:r>
      <w:r w:rsidR="00F22536">
        <w:t>, 2018</w:t>
      </w:r>
    </w:p>
    <w:p w14:paraId="05D9C8CB" w14:textId="77777777" w:rsidR="00F22536" w:rsidRDefault="00F22536" w:rsidP="00F22536">
      <w:pPr>
        <w:jc w:val="center"/>
      </w:pPr>
      <w:r>
        <w:t>Fall 2018 – COSC 528</w:t>
      </w:r>
    </w:p>
    <w:p w14:paraId="0EF8B77D" w14:textId="73B0BB13" w:rsidR="00F22536" w:rsidRDefault="005960C3" w:rsidP="00F22536">
      <w:pPr>
        <w:jc w:val="center"/>
      </w:pPr>
      <w:r>
        <w:t>Project 3</w:t>
      </w:r>
    </w:p>
    <w:p w14:paraId="76A40289" w14:textId="77777777" w:rsidR="00F22536" w:rsidRDefault="00F22536" w:rsidP="00F22536">
      <w:pPr>
        <w:jc w:val="center"/>
      </w:pPr>
    </w:p>
    <w:p w14:paraId="280EDD36" w14:textId="719D1C60" w:rsidR="00F22536" w:rsidRDefault="00F22536" w:rsidP="004B5332">
      <w:pPr>
        <w:pStyle w:val="Heading2"/>
      </w:pPr>
      <w:r>
        <w:t>Abstract</w:t>
      </w:r>
    </w:p>
    <w:p w14:paraId="33568736" w14:textId="3DC25BF8" w:rsidR="004B5332" w:rsidRPr="00212CC9" w:rsidRDefault="005960C3" w:rsidP="004B5332">
      <w:r>
        <w:t xml:space="preserve">This project implements two approaches to predict cancerous results from five features. The first method employed is </w:t>
      </w:r>
      <w:r>
        <w:rPr>
          <w:i/>
        </w:rPr>
        <w:t>k</w:t>
      </w:r>
      <w:r w:rsidR="009D2D80">
        <w:t>-Nearest-</w:t>
      </w:r>
      <w:r>
        <w:t>Neighbor</w:t>
      </w:r>
      <w:r w:rsidR="00212CC9">
        <w:t xml:space="preserve"> (</w:t>
      </w:r>
      <w:r w:rsidR="00212CC9">
        <w:rPr>
          <w:i/>
        </w:rPr>
        <w:t>k</w:t>
      </w:r>
      <w:r w:rsidR="00212CC9">
        <w:t>-NN)</w:t>
      </w:r>
      <w:r>
        <w:t xml:space="preserve"> clustering using </w:t>
      </w:r>
      <w:r w:rsidR="00212CC9">
        <w:t xml:space="preserve">a variety </w:t>
      </w:r>
      <w:r w:rsidR="009D2D80">
        <w:t>nearest-</w:t>
      </w:r>
      <w:proofErr w:type="gramStart"/>
      <w:r>
        <w:t>neighbors</w:t>
      </w:r>
      <w:proofErr w:type="gramEnd"/>
      <w:r>
        <w:t xml:space="preserve"> values</w:t>
      </w:r>
      <w:r w:rsidR="00212CC9">
        <w:t xml:space="preserve">. </w:t>
      </w:r>
      <w:r w:rsidR="00703830">
        <w:t>A confusion metric and f</w:t>
      </w:r>
      <w:r w:rsidR="009D2D80">
        <w:t>ive</w:t>
      </w:r>
      <w:r w:rsidR="00212CC9">
        <w:t xml:space="preserve"> metrics are reported to analyze the performance of different </w:t>
      </w:r>
      <w:r w:rsidR="00212CC9">
        <w:rPr>
          <w:i/>
        </w:rPr>
        <w:t>k</w:t>
      </w:r>
      <w:r w:rsidR="00212CC9">
        <w:t xml:space="preserve">-values for the </w:t>
      </w:r>
      <w:r w:rsidR="00212CC9">
        <w:rPr>
          <w:i/>
        </w:rPr>
        <w:t>k</w:t>
      </w:r>
      <w:r w:rsidR="00212CC9">
        <w:t>-NN</w:t>
      </w:r>
      <w:r w:rsidR="009D2D80">
        <w:t xml:space="preserve">, which include: model accuracy, true positive rate, positive predictive value, true negative rate, and F1-score. </w:t>
      </w:r>
      <w:r w:rsidR="00AF43BB">
        <w:t>Second, a decision tree class is created with the option to employ three</w:t>
      </w:r>
      <w:r w:rsidR="00C556DF">
        <w:t xml:space="preserve"> measures for decision tree branching: entropy, Gini index, and misclassification error. </w:t>
      </w:r>
      <w:r w:rsidR="009F1753">
        <w:t>Both techniques utilized in this project are implemented in a supervised fashion, which uses a portion of the original dataset (i.e. tra</w:t>
      </w:r>
      <w:r w:rsidR="0095238B">
        <w:t>i</w:t>
      </w:r>
      <w:r w:rsidR="009F1753">
        <w:t xml:space="preserve">ning data) to build a predictive model and validates the model on the remaining data (i.e. test data). </w:t>
      </w:r>
    </w:p>
    <w:p w14:paraId="5D49179D" w14:textId="77777777" w:rsidR="00A911C5" w:rsidRDefault="00A10ACA" w:rsidP="00A10ACA">
      <w:pPr>
        <w:pStyle w:val="Heading2"/>
      </w:pPr>
      <w:r>
        <w:t>1 Introduction</w:t>
      </w:r>
    </w:p>
    <w:p w14:paraId="732D0300" w14:textId="43612B0F" w:rsidR="00EA2465" w:rsidRDefault="00AF43BB" w:rsidP="00A10ACA">
      <w:r>
        <w:t>Two</w:t>
      </w:r>
      <w:r w:rsidR="00A315D7">
        <w:t xml:space="preserve"> common analysis to perform in </w:t>
      </w:r>
      <w:r>
        <w:t>the field of biostatistics and epidemiology is causation analysis and predictive model creation. These analyses attempt to find a relationship between data features in order to better control or treat medical issues</w:t>
      </w:r>
      <w:r w:rsidR="00453C52">
        <w:t>.</w:t>
      </w:r>
      <w:r>
        <w:t xml:space="preserve"> This project uses a dataset that contains cancer classification (i.e., malignant or benign) along with ten attributes. The idea is to use the data attributes to predict the cancer classification for a given patient. </w:t>
      </w:r>
      <w:r w:rsidR="00DF276B">
        <w:t xml:space="preserve">The dataset is mean-centered and </w:t>
      </w:r>
      <w:r w:rsidR="00DF276B">
        <w:rPr>
          <w:i/>
        </w:rPr>
        <w:t>z-</w:t>
      </w:r>
      <w:r w:rsidR="00DF276B">
        <w:t>standardized prior to employing two classification methods</w:t>
      </w:r>
      <w:r>
        <w:t xml:space="preserve">: clustering and decision tree analysis. </w:t>
      </w:r>
    </w:p>
    <w:p w14:paraId="41AFAAFB" w14:textId="634919D1" w:rsidR="00EA2465" w:rsidRDefault="00EA2465" w:rsidP="00EA2465">
      <w:pPr>
        <w:pStyle w:val="Heading2"/>
        <w:numPr>
          <w:ilvl w:val="1"/>
          <w:numId w:val="7"/>
        </w:numPr>
      </w:pPr>
      <w:r>
        <w:rPr>
          <w:i/>
        </w:rPr>
        <w:t>k</w:t>
      </w:r>
      <w:r>
        <w:t>-NN Clustering Technique</w:t>
      </w:r>
    </w:p>
    <w:p w14:paraId="28775A91" w14:textId="20D90C0A" w:rsidR="00B77A86" w:rsidRDefault="004B2D2F" w:rsidP="00A10ACA">
      <w:r>
        <w:t xml:space="preserve">A widely popular classification technique called </w:t>
      </w:r>
      <w:r>
        <w:rPr>
          <w:i/>
        </w:rPr>
        <w:t>k</w:t>
      </w:r>
      <w:r>
        <w:t xml:space="preserve">-Nearest-Neighbor </w:t>
      </w:r>
      <w:r w:rsidR="00066CDC">
        <w:t>(</w:t>
      </w:r>
      <w:r w:rsidR="00066CDC" w:rsidRPr="00066CDC">
        <w:rPr>
          <w:i/>
        </w:rPr>
        <w:t>k</w:t>
      </w:r>
      <w:r w:rsidR="00066CDC">
        <w:t xml:space="preserve">-NN) </w:t>
      </w:r>
      <w:r w:rsidRPr="00066CDC">
        <w:t>clustering</w:t>
      </w:r>
      <w:r>
        <w:t xml:space="preserve"> employed in this project attempts to cluster the data features to assist in the classification prediction process. </w:t>
      </w:r>
      <w:r w:rsidR="00A64392">
        <w:t xml:space="preserve">This technique is a common choice due the output interpretability, and </w:t>
      </w:r>
      <w:r w:rsidR="00A609FF">
        <w:t>relatively high predictive power</w:t>
      </w:r>
      <w:r w:rsidR="00697078">
        <w:t>, but can suffer from higher calculation times for large datasets as this technique iterates over the entirety of the dataset.</w:t>
      </w:r>
      <w:r w:rsidR="0098108B">
        <w:t xml:space="preserve"> The </w:t>
      </w:r>
      <w:r w:rsidR="0098108B">
        <w:rPr>
          <w:i/>
        </w:rPr>
        <w:t>k</w:t>
      </w:r>
      <w:r w:rsidR="0098108B">
        <w:t xml:space="preserve"> value in </w:t>
      </w:r>
      <w:r w:rsidR="0098108B">
        <w:rPr>
          <w:i/>
        </w:rPr>
        <w:t>k</w:t>
      </w:r>
      <w:r w:rsidR="0098108B">
        <w:t>-NN is a hyperparameter</w:t>
      </w:r>
      <w:r w:rsidR="00A64392">
        <w:t xml:space="preserve"> </w:t>
      </w:r>
      <w:r w:rsidR="0098108B">
        <w:t xml:space="preserve">that is chosen by an analyst that calculates the classification of a given data point based on the classification of the closest </w:t>
      </w:r>
      <w:r w:rsidR="0098108B">
        <w:rPr>
          <w:i/>
        </w:rPr>
        <w:t xml:space="preserve">k </w:t>
      </w:r>
      <w:r w:rsidR="0098108B">
        <w:t xml:space="preserve">number of data points. </w:t>
      </w:r>
      <w:r w:rsidR="00697078">
        <w:t xml:space="preserve">A conventional approach to choose an appropriate </w:t>
      </w:r>
      <w:r w:rsidR="00697078">
        <w:rPr>
          <w:i/>
        </w:rPr>
        <w:t>k</w:t>
      </w:r>
      <w:r w:rsidR="00697078">
        <w:t xml:space="preserve"> value is to assess the error rates for various </w:t>
      </w:r>
      <w:r w:rsidR="00697078">
        <w:lastRenderedPageBreak/>
        <w:t>parameter values. This task can be performed via a number of performance metrics, such as the training error rate and validation error rate when using a training-test split of the data</w:t>
      </w:r>
      <w:r w:rsidR="0098108B">
        <w:t>.</w:t>
      </w:r>
      <w:r w:rsidR="009C0EF8">
        <w:t xml:space="preserve"> The</w:t>
      </w:r>
      <w:r w:rsidR="0098108B">
        <w:t xml:space="preserve"> </w:t>
      </w:r>
      <w:r w:rsidR="006179CD">
        <w:t>performance metrics implemented in this project will be discussed in the analysis portion of this report</w:t>
      </w:r>
      <w:r w:rsidR="009C0EF8">
        <w:t>.</w:t>
      </w:r>
      <w:r w:rsidR="00B77A86">
        <w:t xml:space="preserve"> For the sake of clarity as well as adding context to the </w:t>
      </w:r>
      <w:r w:rsidR="00B77A86">
        <w:rPr>
          <w:i/>
        </w:rPr>
        <w:t>k-</w:t>
      </w:r>
      <w:r w:rsidR="00B77A86">
        <w:t>NN technique implementation, the following steps provide a general overview of the implementation procedure:</w:t>
      </w:r>
    </w:p>
    <w:p w14:paraId="4300AEEE" w14:textId="5601AA03" w:rsidR="00B77A86" w:rsidRDefault="00A3639A" w:rsidP="009A4C7F">
      <w:pPr>
        <w:pStyle w:val="ListParagraph"/>
        <w:numPr>
          <w:ilvl w:val="0"/>
          <w:numId w:val="6"/>
        </w:numPr>
      </w:pPr>
      <w:r>
        <w:t>Split the original da</w:t>
      </w:r>
      <w:r w:rsidR="00FB2148">
        <w:t>ta into a training and test set,</w:t>
      </w:r>
    </w:p>
    <w:p w14:paraId="357058BA" w14:textId="662E3F8F" w:rsidR="00A3639A" w:rsidRDefault="00A3639A" w:rsidP="009A4C7F">
      <w:pPr>
        <w:pStyle w:val="ListParagraph"/>
        <w:numPr>
          <w:ilvl w:val="0"/>
          <w:numId w:val="6"/>
        </w:numPr>
      </w:pPr>
      <w:r>
        <w:t xml:space="preserve">Iterate through the </w:t>
      </w:r>
      <w:r w:rsidR="00FB2148">
        <w:t>test dataset;</w:t>
      </w:r>
    </w:p>
    <w:p w14:paraId="22989301" w14:textId="6E151D2F" w:rsidR="00A3639A" w:rsidRDefault="00A3639A" w:rsidP="00A3639A">
      <w:pPr>
        <w:pStyle w:val="ListParagraph"/>
        <w:numPr>
          <w:ilvl w:val="1"/>
          <w:numId w:val="6"/>
        </w:numPr>
      </w:pPr>
      <w:r>
        <w:t>Calculate distance between each row in the dataset</w:t>
      </w:r>
      <w:r w:rsidR="00FB2148">
        <w:t xml:space="preserve"> to the training dataset,</w:t>
      </w:r>
    </w:p>
    <w:p w14:paraId="123C949E" w14:textId="70EEE647" w:rsidR="00A3639A" w:rsidRDefault="00A3639A" w:rsidP="00A3639A">
      <w:pPr>
        <w:pStyle w:val="ListParagraph"/>
        <w:numPr>
          <w:ilvl w:val="1"/>
          <w:numId w:val="6"/>
        </w:numPr>
      </w:pPr>
      <w:r>
        <w:t xml:space="preserve">Sort calculated distances </w:t>
      </w:r>
      <w:r w:rsidR="00FB2148">
        <w:t>in ascending order,</w:t>
      </w:r>
    </w:p>
    <w:p w14:paraId="18052C74" w14:textId="46B5FA15" w:rsidR="00FB2148" w:rsidRDefault="00FB2148" w:rsidP="00A3639A">
      <w:pPr>
        <w:pStyle w:val="ListParagraph"/>
        <w:numPr>
          <w:ilvl w:val="1"/>
          <w:numId w:val="6"/>
        </w:numPr>
      </w:pPr>
      <w:r>
        <w:t xml:space="preserve">Choose most frequent classification for test point based on top </w:t>
      </w:r>
      <w:r>
        <w:rPr>
          <w:i/>
        </w:rPr>
        <w:t xml:space="preserve">k </w:t>
      </w:r>
      <w:r>
        <w:t>rows of sorted array,</w:t>
      </w:r>
    </w:p>
    <w:p w14:paraId="186871B3" w14:textId="4A6162F9" w:rsidR="00FB2148" w:rsidRDefault="00FB2148" w:rsidP="00FB2148">
      <w:pPr>
        <w:pStyle w:val="ListParagraph"/>
        <w:numPr>
          <w:ilvl w:val="0"/>
          <w:numId w:val="6"/>
        </w:numPr>
      </w:pPr>
      <w:r>
        <w:t xml:space="preserve">Return classification prediction. </w:t>
      </w:r>
    </w:p>
    <w:p w14:paraId="151EDA54" w14:textId="71D8CE16" w:rsidR="00142E31" w:rsidRPr="0086027B" w:rsidRDefault="00142E31" w:rsidP="00142E31">
      <w:r>
        <w:t>There exist multiple methods for calculating the distance between data points</w:t>
      </w:r>
      <w:r w:rsidR="00DA38DF">
        <w:t>, such as the Chebyshev distance, Manhattan distance or the conventional Euclidean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rsidR="00DA38DF">
        <w:t>) distance</w:t>
      </w:r>
      <w:r w:rsidR="00E67FED">
        <w:t>. In attempt to create a more robust calculation, the distance function implemented in this technique calculated the absolute difference between the test and training data. By not squaring the distance, which occurs in the popular</w:t>
      </w:r>
      <w:r w:rsidR="0086027B">
        <w:t xml:space="preserve"> squared difference metric, large difference values do not outweigh small difference values. This method is coupled with mean-centered, </w:t>
      </w:r>
      <w:r w:rsidR="0086027B">
        <w:rPr>
          <w:i/>
        </w:rPr>
        <w:t>z</w:t>
      </w:r>
      <w:r w:rsidR="0086027B">
        <w:t xml:space="preserve">-standardized dataset, which is employed prior to the clustering technique. </w:t>
      </w:r>
    </w:p>
    <w:p w14:paraId="74F560F4" w14:textId="3529FA7D" w:rsidR="0009051B" w:rsidRDefault="00C37B84" w:rsidP="00A10ACA">
      <w:r>
        <w:t>A python function (</w:t>
      </w:r>
      <w:proofErr w:type="spellStart"/>
      <w:r>
        <w:rPr>
          <w:i/>
        </w:rPr>
        <w:t>getNeighbors</w:t>
      </w:r>
      <w:proofErr w:type="spellEnd"/>
      <w:r>
        <w:t xml:space="preserve">) was created to implement this technique using five inputs: training data features, training data classifications, test data features, and test data classification, and integer value for </w:t>
      </w:r>
      <w:r>
        <w:rPr>
          <w:i/>
        </w:rPr>
        <w:t>k</w:t>
      </w:r>
      <w:r>
        <w:t xml:space="preserve"> parameter. </w:t>
      </w:r>
      <w:r w:rsidR="00233516">
        <w:t xml:space="preserve">Identical to the previously discussed procedure, the function </w:t>
      </w:r>
      <w:proofErr w:type="gramStart"/>
      <w:r w:rsidR="00A8109E">
        <w:t>calculate</w:t>
      </w:r>
      <w:proofErr w:type="gramEnd"/>
      <w:r w:rsidR="00A8109E">
        <w:t xml:space="preserve"> the distance via absolute difference for each row in the test set to the training set and returns the classification for each row based on the </w:t>
      </w:r>
      <w:r w:rsidR="00A8109E">
        <w:rPr>
          <w:i/>
        </w:rPr>
        <w:t>k</w:t>
      </w:r>
      <w:r w:rsidR="00A8109E">
        <w:t xml:space="preserve"> parameter provided. </w:t>
      </w:r>
      <w:r w:rsidR="00AF43BB">
        <w:t>The</w:t>
      </w:r>
      <w:r w:rsidR="00453C52">
        <w:t xml:space="preserve"> details for the implementa</w:t>
      </w:r>
      <w:r w:rsidR="00A8109E">
        <w:t xml:space="preserve">tion, performance metrics and </w:t>
      </w:r>
      <w:r w:rsidR="0009051B">
        <w:t xml:space="preserve">results </w:t>
      </w:r>
      <w:r w:rsidR="00453C52">
        <w:t>are</w:t>
      </w:r>
      <w:r w:rsidR="0009051B">
        <w:t xml:space="preserve"> discussed later in this report.</w:t>
      </w:r>
    </w:p>
    <w:p w14:paraId="59C11040" w14:textId="6ECC720F" w:rsidR="00ED36B0" w:rsidRDefault="00ED36B0" w:rsidP="00ED36B0">
      <w:pPr>
        <w:pStyle w:val="Heading2"/>
      </w:pPr>
      <w:r>
        <w:t>1.2 Decision Tree Analysis</w:t>
      </w:r>
    </w:p>
    <w:p w14:paraId="34408F0E" w14:textId="77777777" w:rsidR="008C0791" w:rsidRPr="008C0791" w:rsidRDefault="008C0791" w:rsidP="008C0791"/>
    <w:p w14:paraId="5736D779" w14:textId="10295460" w:rsidR="00365FE1" w:rsidRDefault="00C97D33" w:rsidP="00365FE1">
      <w:pPr>
        <w:pStyle w:val="Heading2"/>
      </w:pPr>
      <w:r>
        <w:t>1.3</w:t>
      </w:r>
      <w:r w:rsidR="00365FE1">
        <w:t xml:space="preserve"> Dimensionality Reduction</w:t>
      </w:r>
    </w:p>
    <w:p w14:paraId="47F1E4DE" w14:textId="268278F8" w:rsidR="001D1289" w:rsidRDefault="0009051B" w:rsidP="00A10ACA">
      <w:r>
        <w:t>Prior to arranging, a</w:t>
      </w:r>
      <w:r w:rsidR="005731F5">
        <w:t xml:space="preserve"> dimensionality reduction method is implement</w:t>
      </w:r>
      <w:r w:rsidR="00D412E3">
        <w:t xml:space="preserve">ed to reduce the </w:t>
      </w:r>
      <w:r w:rsidR="00AD0DA0">
        <w:t>number</w:t>
      </w:r>
      <w:r w:rsidR="00D412E3">
        <w:t xml:space="preserve"> of features required to perform the analysis. </w:t>
      </w:r>
      <w:r>
        <w:t xml:space="preserve">In an ideal scenario, feature selection and/or extraction should not be required as separate process, where the classification or regression should be employed in a manner that use and removes features, respectively, as necessary. </w:t>
      </w:r>
      <w:r w:rsidR="008A3BA0">
        <w:t>This case can be true for low dimensionality data, but by removing the irrelevant data features from the analysis can potentially strengthen the subsequent analysis by:</w:t>
      </w:r>
    </w:p>
    <w:p w14:paraId="130C417C" w14:textId="0E6D0A25" w:rsidR="008A3BA0" w:rsidRDefault="008A3BA0" w:rsidP="00B14DA4">
      <w:pPr>
        <w:pStyle w:val="ListParagraph"/>
        <w:numPr>
          <w:ilvl w:val="0"/>
          <w:numId w:val="1"/>
        </w:numPr>
        <w:spacing w:before="120"/>
        <w:contextualSpacing w:val="0"/>
      </w:pPr>
      <w:r>
        <w:t>reduce computation time due to decrease in size of matrices;</w:t>
      </w:r>
    </w:p>
    <w:p w14:paraId="6D6CAFCA" w14:textId="4D74E824" w:rsidR="008A3BA0" w:rsidRDefault="008A3BA0" w:rsidP="00B14DA4">
      <w:pPr>
        <w:pStyle w:val="ListParagraph"/>
        <w:numPr>
          <w:ilvl w:val="0"/>
          <w:numId w:val="1"/>
        </w:numPr>
        <w:spacing w:before="120"/>
        <w:contextualSpacing w:val="0"/>
      </w:pPr>
      <w:r>
        <w:t>simpler models provide more robust results on smaller datasets;</w:t>
      </w:r>
    </w:p>
    <w:p w14:paraId="3956DCAA" w14:textId="28DCC270" w:rsidR="008A3BA0" w:rsidRDefault="008A3BA0" w:rsidP="00B14DA4">
      <w:pPr>
        <w:pStyle w:val="ListParagraph"/>
        <w:numPr>
          <w:ilvl w:val="0"/>
          <w:numId w:val="1"/>
        </w:numPr>
        <w:spacing w:before="120"/>
        <w:contextualSpacing w:val="0"/>
      </w:pPr>
      <w:r>
        <w:lastRenderedPageBreak/>
        <w:t>increase understanding of the dataset by keeping the features that impact the data; and,</w:t>
      </w:r>
    </w:p>
    <w:p w14:paraId="6E3B91C8" w14:textId="0CBD64DB" w:rsidR="0009051B" w:rsidRDefault="008A3BA0" w:rsidP="00B14DA4">
      <w:pPr>
        <w:pStyle w:val="ListParagraph"/>
        <w:numPr>
          <w:ilvl w:val="0"/>
          <w:numId w:val="1"/>
        </w:numPr>
        <w:spacing w:before="120"/>
        <w:contextualSpacing w:val="0"/>
      </w:pPr>
      <w:r>
        <w:t xml:space="preserve">potential increase in graphical representation of the original data as the analysis can be visualized in a lower dimension. </w:t>
      </w:r>
    </w:p>
    <w:p w14:paraId="191F9A79" w14:textId="77777777" w:rsidR="00365FE1" w:rsidRDefault="00365FE1" w:rsidP="00AA2CCB"/>
    <w:p w14:paraId="5ACFFB61" w14:textId="162F04F6" w:rsidR="00325356" w:rsidRDefault="009614FF" w:rsidP="008A3BA0">
      <w:r>
        <w:t xml:space="preserve">To analyze the usefulness of each feature </w:t>
      </w:r>
      <w:r w:rsidR="00AD0DA0">
        <w:t>to</w:t>
      </w:r>
      <w:r>
        <w:t xml:space="preserve"> decrease the dimensionality of the data, principal component analysis</w:t>
      </w:r>
      <w:r w:rsidR="00DF39A2">
        <w:t xml:space="preserve"> (PCA)</w:t>
      </w:r>
      <w:r>
        <w:t xml:space="preserve"> is utilized. </w:t>
      </w:r>
      <w:r w:rsidR="00DF39A2">
        <w:t>As an unsupervised method, PCA attempts to maximize the variance and uses the variance as the criteria to acquire the appropriate level of dimensions to use for subsequent data analysis</w:t>
      </w:r>
      <w:r w:rsidR="002651E3">
        <w:t>.</w:t>
      </w:r>
      <w:r w:rsidR="00483091">
        <w:t xml:space="preserve"> Essentially, PCA is an eigenvalue problem, where the eigenvectors, referred to as the principal components (PCs), provide, after the data is projected on to the eigenvalue, a more spread out or separated data. There are several methods to the PCs, but a conventional method solves for the eigenvectors of the covariance matrix from the original data. The resulting PCs are then sorted in a decreasing order from greatest to least in the amount of variance explained by each PC.</w:t>
      </w:r>
      <w:r w:rsidR="00325356">
        <w:t xml:space="preserve"> That is, the eigenvector with the highest eigenvalue is the direction </w:t>
      </w:r>
      <w:r w:rsidR="00727C25">
        <w:t>that</w:t>
      </w:r>
      <w:r w:rsidR="00325356">
        <w:t xml:space="preserve"> the data is most spread out, which is ideal for clustering.</w:t>
      </w:r>
    </w:p>
    <w:p w14:paraId="769520F0" w14:textId="4C00A137" w:rsidR="008A3BA0" w:rsidRDefault="00436025" w:rsidP="008A3BA0">
      <w:r>
        <w:t>Rather than directly calculating the eigenvalues and eigenvectors for PCA, another method called singular valu</w:t>
      </w:r>
      <w:r w:rsidR="00987E7A">
        <w:t xml:space="preserve">e decomposition (SVD), returns the principal components and allows for the data is to be decomposed into eigenvectors and eigenvalues. To add context, let’s say the data </w:t>
      </w:r>
      <m:oMath>
        <m:r>
          <m:rPr>
            <m:sty m:val="bi"/>
          </m:rPr>
          <w:rPr>
            <w:rFonts w:ascii="Cambria Math" w:hAnsi="Cambria Math"/>
          </w:rPr>
          <m:t>X</m:t>
        </m:r>
      </m:oMath>
      <w:r w:rsidR="00987E7A">
        <w:rPr>
          <w:b/>
        </w:rPr>
        <w:t xml:space="preserve"> </w:t>
      </w:r>
      <w:r w:rsidR="00987E7A">
        <w:t xml:space="preserve">is a </w:t>
      </w:r>
      <m:oMath>
        <m:d>
          <m:dPr>
            <m:ctrlPr>
              <w:rPr>
                <w:rFonts w:ascii="Cambria Math" w:hAnsi="Cambria Math"/>
                <w:i/>
              </w:rPr>
            </m:ctrlPr>
          </m:dPr>
          <m:e>
            <m:r>
              <w:rPr>
                <w:rFonts w:ascii="Cambria Math" w:hAnsi="Cambria Math"/>
              </w:rPr>
              <m:t xml:space="preserve">N </m:t>
            </m:r>
            <m:r>
              <m:rPr>
                <m:sty m:val="p"/>
              </m:rPr>
              <w:rPr>
                <w:rFonts w:ascii="Cambria Math" w:hAnsi="Cambria Math"/>
              </w:rPr>
              <m:t xml:space="preserve">x </m:t>
            </m:r>
            <m:r>
              <w:rPr>
                <w:rFonts w:ascii="Cambria Math" w:hAnsi="Cambria Math"/>
              </w:rPr>
              <m:t>d</m:t>
            </m:r>
          </m:e>
        </m:d>
      </m:oMath>
      <w:r w:rsidR="00987E7A">
        <w:t>rectangular matrix and can be represented as the product of three matri</w:t>
      </w:r>
      <w:proofErr w:type="spellStart"/>
      <w:r w:rsidR="00987E7A">
        <w:t>ces</w:t>
      </w:r>
      <w:proofErr w:type="spellEnd"/>
      <w:r w:rsidR="00987E7A">
        <w:t xml:space="preserve">: </w:t>
      </w:r>
      <m:oMath>
        <m:r>
          <m:rPr>
            <m:sty m:val="bi"/>
          </m:rPr>
          <w:rPr>
            <w:rFonts w:ascii="Cambria Math" w:hAnsi="Cambria Math"/>
          </w:rPr>
          <m:t>V</m:t>
        </m:r>
        <m:r>
          <w:rPr>
            <w:rFonts w:ascii="Cambria Math" w:hAnsi="Cambria Math"/>
          </w:rPr>
          <m:t xml:space="preserve">, </m:t>
        </m:r>
        <m:r>
          <m:rPr>
            <m:sty m:val="bi"/>
          </m:rPr>
          <w:rPr>
            <w:rFonts w:ascii="Cambria Math" w:hAnsi="Cambria Math"/>
          </w:rPr>
          <m:t>A</m:t>
        </m:r>
        <m:r>
          <m:rPr>
            <m:sty m:val="p"/>
          </m:rPr>
          <w:rPr>
            <w:rFonts w:ascii="Cambria Math" w:hAnsi="Cambria Math"/>
          </w:rPr>
          <m:t>,</m:t>
        </m:r>
      </m:oMath>
      <w:r w:rsidR="00987E7A">
        <w:t xml:space="preserve"> and </w:t>
      </w:r>
      <m:oMath>
        <m:sSup>
          <m:sSupPr>
            <m:ctrlPr>
              <w:rPr>
                <w:rFonts w:ascii="Cambria Math" w:hAnsi="Cambria Math"/>
                <w:i/>
              </w:rPr>
            </m:ctrlPr>
          </m:sSupPr>
          <m:e>
            <m:r>
              <m:rPr>
                <m:sty m:val="bi"/>
              </m:rPr>
              <w:rPr>
                <w:rFonts w:ascii="Cambria Math" w:hAnsi="Cambria Math"/>
              </w:rPr>
              <m:t>W</m:t>
            </m:r>
          </m:e>
          <m:sup>
            <m:r>
              <m:rPr>
                <m:sty m:val="p"/>
              </m:rPr>
              <w:rPr>
                <w:rFonts w:ascii="Cambria Math" w:hAnsi="Cambria Math"/>
              </w:rPr>
              <m:t>T</m:t>
            </m:r>
          </m:sup>
        </m:sSup>
      </m:oMath>
      <w:r w:rsidR="00987E7A">
        <w:t>, as shown in the following equation.</w:t>
      </w:r>
    </w:p>
    <w:p w14:paraId="2BC25BEB" w14:textId="48F0935C" w:rsidR="00987E7A" w:rsidRPr="000E6CE2" w:rsidRDefault="00987E7A" w:rsidP="005A61D1">
      <w:pPr>
        <w:spacing w:before="240"/>
      </w:pPr>
      <m:oMathPara>
        <m:oMath>
          <m:r>
            <m:rPr>
              <m:sty m:val="bi"/>
            </m:rPr>
            <w:rPr>
              <w:rFonts w:ascii="Cambria Math" w:hAnsi="Cambria Math"/>
            </w:rPr>
            <m:t>X</m:t>
          </m:r>
          <m:r>
            <w:rPr>
              <w:rFonts w:ascii="Cambria Math" w:hAnsi="Cambria Math"/>
            </w:rPr>
            <m:t>=</m:t>
          </m:r>
          <m:r>
            <m:rPr>
              <m:sty m:val="bi"/>
            </m:rPr>
            <w:rPr>
              <w:rFonts w:ascii="Cambria Math" w:hAnsi="Cambria Math"/>
            </w:rPr>
            <m:t>US</m:t>
          </m:r>
          <m:sSup>
            <m:sSupPr>
              <m:ctrlPr>
                <w:rPr>
                  <w:rFonts w:ascii="Cambria Math" w:hAnsi="Cambria Math"/>
                  <w:i/>
                </w:rPr>
              </m:ctrlPr>
            </m:sSupPr>
            <m:e>
              <m:r>
                <m:rPr>
                  <m:sty m:val="bi"/>
                </m:rPr>
                <w:rPr>
                  <w:rFonts w:ascii="Cambria Math" w:hAnsi="Cambria Math"/>
                </w:rPr>
                <m:t>V</m:t>
              </m:r>
            </m:e>
            <m:sup>
              <m:r>
                <w:rPr>
                  <w:rFonts w:ascii="Cambria Math" w:hAnsi="Cambria Math"/>
                </w:rPr>
                <m:t>T</m:t>
              </m:r>
            </m:sup>
          </m:sSup>
        </m:oMath>
      </m:oMathPara>
    </w:p>
    <w:p w14:paraId="66E0E5B8" w14:textId="619687D8" w:rsidR="000E6CE2" w:rsidRDefault="000E6CE2" w:rsidP="005A61D1">
      <w:r>
        <w:t xml:space="preserve">The matrix </w:t>
      </w:r>
      <m:oMath>
        <m:r>
          <m:rPr>
            <m:sty m:val="bi"/>
          </m:rPr>
          <w:rPr>
            <w:rFonts w:ascii="Cambria Math" w:hAnsi="Cambria Math"/>
          </w:rPr>
          <m:t xml:space="preserve">U </m:t>
        </m:r>
        <m:r>
          <w:rPr>
            <w:rFonts w:ascii="Cambria Math" w:hAnsi="Cambria Math"/>
          </w:rPr>
          <m:t xml:space="preserve">(N </m:t>
        </m:r>
        <m:r>
          <m:rPr>
            <m:sty m:val="p"/>
          </m:rPr>
          <w:rPr>
            <w:rFonts w:ascii="Cambria Math" w:hAnsi="Cambria Math"/>
          </w:rPr>
          <m:t xml:space="preserve">x </m:t>
        </m:r>
        <m:r>
          <w:rPr>
            <w:rFonts w:ascii="Cambria Math" w:hAnsi="Cambria Math"/>
          </w:rPr>
          <m:t>N</m:t>
        </m:r>
        <m:r>
          <m:rPr>
            <m:sty m:val="p"/>
          </m:rPr>
          <w:rPr>
            <w:rFonts w:ascii="Cambria Math" w:hAnsi="Cambria Math"/>
          </w:rPr>
          <m:t>)</m:t>
        </m:r>
      </m:oMath>
      <w:r>
        <w:t xml:space="preserve"> contains the</w:t>
      </w:r>
      <w:r>
        <w:rPr>
          <w:b/>
        </w:rPr>
        <w:t xml:space="preserve"> </w:t>
      </w:r>
      <w:r>
        <w:t xml:space="preserve">eigenvectors of </w:t>
      </w:r>
      <m:oMath>
        <m:r>
          <m:rPr>
            <m:sty m:val="bi"/>
          </m:rPr>
          <w:rPr>
            <w:rFonts w:ascii="Cambria Math" w:hAnsi="Cambria Math"/>
          </w:rPr>
          <m:t>X</m:t>
        </m:r>
        <m:sSup>
          <m:sSupPr>
            <m:ctrlPr>
              <w:rPr>
                <w:rFonts w:ascii="Cambria Math" w:hAnsi="Cambria Math"/>
                <w:i/>
              </w:rPr>
            </m:ctrlPr>
          </m:sSupPr>
          <m:e>
            <m:r>
              <m:rPr>
                <m:sty m:val="bi"/>
              </m:rPr>
              <w:rPr>
                <w:rFonts w:ascii="Cambria Math" w:hAnsi="Cambria Math"/>
              </w:rPr>
              <m:t>X</m:t>
            </m:r>
          </m:e>
          <m:sup>
            <m:r>
              <m:rPr>
                <m:sty m:val="p"/>
              </m:rPr>
              <w:rPr>
                <w:rFonts w:ascii="Cambria Math" w:hAnsi="Cambria Math"/>
              </w:rPr>
              <m:t>T</m:t>
            </m:r>
          </m:sup>
        </m:sSup>
      </m:oMath>
      <w:r>
        <w:t xml:space="preserve"> in its columns, </w:t>
      </w:r>
      <w:r w:rsidR="00826261">
        <w:t xml:space="preserve">the matrix </w:t>
      </w:r>
      <m:oMath>
        <m:r>
          <m:rPr>
            <m:sty m:val="bi"/>
          </m:rPr>
          <w:rPr>
            <w:rFonts w:ascii="Cambria Math" w:hAnsi="Cambria Math"/>
          </w:rPr>
          <m:t xml:space="preserve">S </m:t>
        </m:r>
        <m:r>
          <w:rPr>
            <w:rFonts w:ascii="Cambria Math" w:hAnsi="Cambria Math"/>
          </w:rPr>
          <m:t xml:space="preserve">(N </m:t>
        </m:r>
        <m:r>
          <m:rPr>
            <m:sty m:val="p"/>
          </m:rPr>
          <w:rPr>
            <w:rFonts w:ascii="Cambria Math" w:hAnsi="Cambria Math"/>
          </w:rPr>
          <m:t>x</m:t>
        </m:r>
        <m:r>
          <w:rPr>
            <w:rFonts w:ascii="Cambria Math" w:hAnsi="Cambria Math"/>
          </w:rPr>
          <m:t xml:space="preserve"> d)</m:t>
        </m:r>
      </m:oMath>
      <w:r w:rsidR="00826261">
        <w:t xml:space="preserve"> contains the singular values, or eigenvalues, along the diagonal, and the matrix </w:t>
      </w:r>
      <m:oMath>
        <m:sSup>
          <m:sSupPr>
            <m:ctrlPr>
              <w:rPr>
                <w:rFonts w:ascii="Cambria Math" w:hAnsi="Cambria Math"/>
                <w:i/>
              </w:rPr>
            </m:ctrlPr>
          </m:sSupPr>
          <m:e>
            <m:r>
              <m:rPr>
                <m:sty m:val="bi"/>
              </m:rPr>
              <w:rPr>
                <w:rFonts w:ascii="Cambria Math" w:hAnsi="Cambria Math"/>
              </w:rPr>
              <m:t>V</m:t>
            </m:r>
          </m:e>
          <m:sup>
            <m:r>
              <m:rPr>
                <m:sty m:val="p"/>
              </m:rPr>
              <w:rPr>
                <w:rFonts w:ascii="Cambria Math" w:hAnsi="Cambria Math"/>
              </w:rPr>
              <m:t>T</m:t>
            </m:r>
          </m:sup>
        </m:sSup>
        <m:r>
          <w:rPr>
            <w:rFonts w:ascii="Cambria Math" w:hAnsi="Cambria Math"/>
          </w:rPr>
          <m:t xml:space="preserve"> </m:t>
        </m:r>
        <m:d>
          <m:dPr>
            <m:ctrlPr>
              <w:rPr>
                <w:rFonts w:ascii="Cambria Math" w:hAnsi="Cambria Math"/>
                <w:i/>
              </w:rPr>
            </m:ctrlPr>
          </m:dPr>
          <m:e>
            <m:r>
              <w:rPr>
                <w:rFonts w:ascii="Cambria Math" w:hAnsi="Cambria Math"/>
              </w:rPr>
              <m:t xml:space="preserve">d </m:t>
            </m:r>
            <m:r>
              <m:rPr>
                <m:sty m:val="p"/>
              </m:rPr>
              <w:rPr>
                <w:rFonts w:ascii="Cambria Math" w:hAnsi="Cambria Math"/>
              </w:rPr>
              <m:t xml:space="preserve">x </m:t>
            </m:r>
            <m:r>
              <w:rPr>
                <w:rFonts w:ascii="Cambria Math" w:hAnsi="Cambria Math"/>
              </w:rPr>
              <m:t>d</m:t>
            </m:r>
          </m:e>
        </m:d>
      </m:oMath>
      <w:r w:rsidR="00826261">
        <w:t xml:space="preserve"> contains the</w:t>
      </w:r>
      <w:r w:rsidR="00826261">
        <w:rPr>
          <w:b/>
        </w:rPr>
        <w:t xml:space="preserve"> </w:t>
      </w:r>
      <w:r w:rsidR="00826261">
        <w:t xml:space="preserve">eigenvectors of </w:t>
      </w:r>
      <m:oMath>
        <m:sSup>
          <m:sSupPr>
            <m:ctrlPr>
              <w:rPr>
                <w:rFonts w:ascii="Cambria Math" w:hAnsi="Cambria Math"/>
                <w:i/>
              </w:rPr>
            </m:ctrlPr>
          </m:sSupPr>
          <m:e>
            <m:r>
              <m:rPr>
                <m:sty m:val="bi"/>
              </m:rPr>
              <w:rPr>
                <w:rFonts w:ascii="Cambria Math" w:hAnsi="Cambria Math"/>
              </w:rPr>
              <m:t>X</m:t>
            </m:r>
          </m:e>
          <m:sup>
            <m:r>
              <m:rPr>
                <m:sty m:val="p"/>
              </m:rPr>
              <w:rPr>
                <w:rFonts w:ascii="Cambria Math" w:hAnsi="Cambria Math"/>
              </w:rPr>
              <m:t>T</m:t>
            </m:r>
          </m:sup>
        </m:sSup>
        <m:r>
          <m:rPr>
            <m:sty m:val="bi"/>
          </m:rPr>
          <w:rPr>
            <w:rFonts w:ascii="Cambria Math" w:hAnsi="Cambria Math"/>
          </w:rPr>
          <m:t>X</m:t>
        </m:r>
      </m:oMath>
      <w:r w:rsidR="00826261">
        <w:t xml:space="preserve"> in its columns. </w:t>
      </w:r>
      <w:r w:rsidR="008B71AC">
        <w:t xml:space="preserve">To transforms the data into the resulting PC space, the product of </w:t>
      </w:r>
      <m:oMath>
        <m:r>
          <m:rPr>
            <m:sty m:val="bi"/>
          </m:rPr>
          <w:rPr>
            <w:rFonts w:ascii="Cambria Math" w:hAnsi="Cambria Math"/>
          </w:rPr>
          <m:t>U</m:t>
        </m:r>
        <m:r>
          <w:rPr>
            <w:rFonts w:ascii="Cambria Math" w:hAnsi="Cambria Math"/>
          </w:rPr>
          <m:t xml:space="preserve"> </m:t>
        </m:r>
        <m:r>
          <m:rPr>
            <m:sty m:val="p"/>
          </m:rPr>
          <w:rPr>
            <w:rFonts w:ascii="Cambria Math" w:hAnsi="Cambria Math"/>
          </w:rPr>
          <m:t xml:space="preserve">and </m:t>
        </m:r>
        <m:r>
          <m:rPr>
            <m:sty m:val="bi"/>
          </m:rPr>
          <w:rPr>
            <w:rFonts w:ascii="Cambria Math" w:hAnsi="Cambria Math"/>
          </w:rPr>
          <m:t>S</m:t>
        </m:r>
      </m:oMath>
      <w:r w:rsidR="008B71AC">
        <w:rPr>
          <w:b/>
        </w:rPr>
        <w:t xml:space="preserve"> </w:t>
      </w:r>
      <w:r w:rsidR="008B71AC">
        <w:t xml:space="preserve">is used. </w:t>
      </w:r>
      <w:r w:rsidR="00A06AFF">
        <w:t xml:space="preserve">To prove </w:t>
      </w:r>
      <w:r w:rsidR="00AD0DA0">
        <w:t>this,</w:t>
      </w:r>
      <w:r w:rsidR="00A06AFF">
        <w:t xml:space="preserve"> point that PCA and SVD will result in equal solutions, a random </w:t>
      </w:r>
      <m:oMath>
        <m:r>
          <w:rPr>
            <w:rFonts w:ascii="Cambria Math" w:hAnsi="Cambria Math"/>
          </w:rPr>
          <m:t xml:space="preserve">(5 </m:t>
        </m:r>
        <m:r>
          <m:rPr>
            <m:sty m:val="p"/>
          </m:rPr>
          <w:rPr>
            <w:rFonts w:ascii="Cambria Math" w:hAnsi="Cambria Math"/>
          </w:rPr>
          <m:t xml:space="preserve">x </m:t>
        </m:r>
        <m:r>
          <w:rPr>
            <w:rFonts w:ascii="Cambria Math" w:hAnsi="Cambria Math"/>
          </w:rPr>
          <m:t>4)</m:t>
        </m:r>
      </m:oMath>
      <w:r w:rsidR="00A06AFF">
        <w:t xml:space="preserve"> matrix was </w:t>
      </w:r>
      <w:r w:rsidR="00AD0DA0">
        <w:t>created,</w:t>
      </w:r>
      <w:r w:rsidR="00A06AFF">
        <w:t xml:space="preserve"> and two approaches were used: (1) Python’s SVD function in SciPy linear algebra library (</w:t>
      </w:r>
      <w:proofErr w:type="spellStart"/>
      <w:r w:rsidR="00A06AFF">
        <w:rPr>
          <w:i/>
        </w:rPr>
        <w:t>scipy.linalg.svd</w:t>
      </w:r>
      <w:proofErr w:type="spellEnd"/>
      <w:r w:rsidR="00A06AFF">
        <w:rPr>
          <w:i/>
        </w:rPr>
        <w:t>)</w:t>
      </w:r>
      <w:r w:rsidR="00514596">
        <w:t xml:space="preserve">, and (2) Python’s </w:t>
      </w:r>
      <w:proofErr w:type="spellStart"/>
      <w:r w:rsidR="00514596">
        <w:t>SciKit-Learn’s</w:t>
      </w:r>
      <w:proofErr w:type="spellEnd"/>
      <w:r w:rsidR="00514596">
        <w:t xml:space="preserve"> decomposition library for PCA (</w:t>
      </w:r>
      <w:proofErr w:type="spellStart"/>
      <w:r w:rsidR="00514596">
        <w:rPr>
          <w:i/>
        </w:rPr>
        <w:t>sklearn.decomposition.PCA</w:t>
      </w:r>
      <w:proofErr w:type="spellEnd"/>
      <w:r w:rsidR="00514596">
        <w:t xml:space="preserve">). </w:t>
      </w:r>
    </w:p>
    <w:p w14:paraId="70741B35" w14:textId="77777777" w:rsidR="00785029" w:rsidRDefault="00785029" w:rsidP="008A3BA0"/>
    <w:p w14:paraId="3144A243" w14:textId="45001D0F" w:rsidR="00785029" w:rsidRPr="00785029" w:rsidRDefault="00785029" w:rsidP="008A3BA0">
      <m:oMathPara>
        <m:oMath>
          <m:r>
            <m:rPr>
              <m:sty m:val="bi"/>
            </m:rPr>
            <w:rPr>
              <w:rFonts w:ascii="Cambria Math" w:hAnsi="Cambria Math"/>
            </w:rPr>
            <m:t>X=</m:t>
          </m:r>
          <m:d>
            <m:dPr>
              <m:begChr m:val="["/>
              <m:endChr m:val="]"/>
              <m:ctrlPr>
                <w:rPr>
                  <w:rFonts w:ascii="Cambria Math" w:hAnsi="Cambria Math"/>
                  <w:i/>
                </w:rPr>
              </m:ctrlPr>
            </m:dPr>
            <m:e>
              <m:r>
                <w:rPr>
                  <w:rFonts w:ascii="Cambria Math" w:hAnsi="Cambria Math"/>
                </w:rPr>
                <m:t xml:space="preserve"> </m:t>
              </m:r>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59</m:t>
                                </m:r>
                              </m:e>
                              <m:e>
                                <m:r>
                                  <w:rPr>
                                    <w:rFonts w:ascii="Cambria Math" w:hAnsi="Cambria Math"/>
                                  </w:rPr>
                                  <m:t>64</m:t>
                                </m:r>
                              </m:e>
                            </m:mr>
                          </m:m>
                        </m:e>
                      </m:mr>
                      <m:mr>
                        <m:e>
                          <m:m>
                            <m:mPr>
                              <m:mcs>
                                <m:mc>
                                  <m:mcPr>
                                    <m:count m:val="2"/>
                                    <m:mcJc m:val="center"/>
                                  </m:mcPr>
                                </m:mc>
                              </m:mcs>
                              <m:ctrlPr>
                                <w:rPr>
                                  <w:rFonts w:ascii="Cambria Math" w:hAnsi="Cambria Math"/>
                                  <w:i/>
                                </w:rPr>
                              </m:ctrlPr>
                            </m:mPr>
                            <m:mr>
                              <m:e>
                                <m:r>
                                  <w:rPr>
                                    <w:rFonts w:ascii="Cambria Math" w:hAnsi="Cambria Math"/>
                                  </w:rPr>
                                  <m:t>75</m:t>
                                </m:r>
                              </m:e>
                              <m:e>
                                <m:r>
                                  <w:rPr>
                                    <w:rFonts w:ascii="Cambria Math" w:hAnsi="Cambria Math"/>
                                  </w:rPr>
                                  <m:t>80</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71</m:t>
                                </m:r>
                              </m:e>
                              <m:e>
                                <m:r>
                                  <w:rPr>
                                    <w:rFonts w:ascii="Cambria Math" w:hAnsi="Cambria Math"/>
                                  </w:rPr>
                                  <m:t>83</m:t>
                                </m:r>
                              </m:e>
                            </m:mr>
                          </m:m>
                        </m:e>
                      </m:mr>
                      <m:mr>
                        <m:e>
                          <m:m>
                            <m:mPr>
                              <m:mcs>
                                <m:mc>
                                  <m:mcPr>
                                    <m:count m:val="2"/>
                                    <m:mcJc m:val="center"/>
                                  </m:mcPr>
                                </m:mc>
                              </m:mcs>
                              <m:ctrlPr>
                                <w:rPr>
                                  <w:rFonts w:ascii="Cambria Math" w:hAnsi="Cambria Math"/>
                                  <w:i/>
                                </w:rPr>
                              </m:ctrlPr>
                            </m:mPr>
                            <m:mr>
                              <m:e>
                                <m:r>
                                  <w:rPr>
                                    <w:rFonts w:ascii="Cambria Math" w:hAnsi="Cambria Math"/>
                                  </w:rPr>
                                  <m:t>55</m:t>
                                </m:r>
                              </m:e>
                              <m:e>
                                <m:r>
                                  <w:rPr>
                                    <w:rFonts w:ascii="Cambria Math" w:hAnsi="Cambria Math"/>
                                  </w:rPr>
                                  <m:t>97</m:t>
                                </m:r>
                              </m:e>
                            </m:mr>
                          </m:m>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94</m:t>
                                </m:r>
                              </m:e>
                              <m:e>
                                <m:r>
                                  <w:rPr>
                                    <w:rFonts w:ascii="Cambria Math" w:hAnsi="Cambria Math"/>
                                  </w:rPr>
                                  <m:t>64</m:t>
                                </m:r>
                              </m:e>
                            </m:mr>
                          </m:m>
                        </m:e>
                      </m:mr>
                      <m:mr>
                        <m:e>
                          <m:m>
                            <m:mPr>
                              <m:mcs>
                                <m:mc>
                                  <m:mcPr>
                                    <m:count m:val="2"/>
                                    <m:mcJc m:val="center"/>
                                  </m:mcPr>
                                </m:mc>
                              </m:mcs>
                              <m:ctrlPr>
                                <w:rPr>
                                  <w:rFonts w:ascii="Cambria Math" w:hAnsi="Cambria Math"/>
                                  <w:i/>
                                </w:rPr>
                              </m:ctrlPr>
                            </m:mPr>
                            <m:mr>
                              <m:e>
                                <m:r>
                                  <w:rPr>
                                    <w:rFonts w:ascii="Cambria Math" w:hAnsi="Cambria Math"/>
                                  </w:rPr>
                                  <m:t>44</m:t>
                                </m:r>
                              </m:e>
                              <m:e>
                                <m:r>
                                  <w:rPr>
                                    <w:rFonts w:ascii="Cambria Math" w:hAnsi="Cambria Math"/>
                                  </w:rPr>
                                  <m:t>36</m:t>
                                </m:r>
                              </m:e>
                            </m:mr>
                          </m:m>
                        </m:e>
                      </m:mr>
                      <m:mr>
                        <m:e>
                          <m:m>
                            <m:mPr>
                              <m:mcs>
                                <m:mc>
                                  <m:mcPr>
                                    <m:count m:val="2"/>
                                    <m:mcJc m:val="center"/>
                                  </m:mcPr>
                                </m:mc>
                              </m:mcs>
                              <m:ctrlPr>
                                <w:rPr>
                                  <w:rFonts w:ascii="Cambria Math" w:hAnsi="Cambria Math"/>
                                  <w:i/>
                                </w:rPr>
                              </m:ctrlPr>
                            </m:mPr>
                            <m:mr>
                              <m:e>
                                <m:r>
                                  <w:rPr>
                                    <w:rFonts w:ascii="Cambria Math" w:hAnsi="Cambria Math"/>
                                  </w:rPr>
                                  <m:t>12</m:t>
                                </m:r>
                              </m:e>
                              <m:e>
                                <m:r>
                                  <w:rPr>
                                    <w:rFonts w:ascii="Cambria Math" w:hAnsi="Cambria Math"/>
                                  </w:rPr>
                                  <m:t>85</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111</m:t>
                                </m:r>
                              </m:e>
                            </m:mr>
                          </m:m>
                        </m:e>
                      </m:mr>
                      <m:mr>
                        <m:e>
                          <m:m>
                            <m:mPr>
                              <m:mcs>
                                <m:mc>
                                  <m:mcPr>
                                    <m:count m:val="2"/>
                                    <m:mcJc m:val="center"/>
                                  </m:mcPr>
                                </m:mc>
                              </m:mcs>
                              <m:ctrlPr>
                                <w:rPr>
                                  <w:rFonts w:ascii="Cambria Math" w:hAnsi="Cambria Math"/>
                                  <w:i/>
                                </w:rPr>
                              </m:ctrlPr>
                            </m:mPr>
                            <m:mr>
                              <m:e>
                                <m:r>
                                  <w:rPr>
                                    <w:rFonts w:ascii="Cambria Math" w:hAnsi="Cambria Math"/>
                                  </w:rPr>
                                  <m:t>74</m:t>
                                </m:r>
                              </m:e>
                              <m:e>
                                <m:r>
                                  <w:rPr>
                                    <w:rFonts w:ascii="Cambria Math" w:hAnsi="Cambria Math"/>
                                  </w:rPr>
                                  <m:t>98</m:t>
                                </m:r>
                              </m:e>
                            </m:mr>
                          </m:m>
                        </m:e>
                      </m:mr>
                      <m:mr>
                        <m:e>
                          <m:m>
                            <m:mPr>
                              <m:mcs>
                                <m:mc>
                                  <m:mcPr>
                                    <m:count m:val="2"/>
                                    <m:mcJc m:val="center"/>
                                  </m:mcPr>
                                </m:mc>
                              </m:mcs>
                              <m:ctrlPr>
                                <w:rPr>
                                  <w:rFonts w:ascii="Cambria Math" w:hAnsi="Cambria Math"/>
                                  <w:i/>
                                </w:rPr>
                              </m:ctrlPr>
                            </m:mPr>
                            <m:mr>
                              <m:e>
                                <m:r>
                                  <w:rPr>
                                    <w:rFonts w:ascii="Cambria Math" w:hAnsi="Cambria Math"/>
                                  </w:rPr>
                                  <m:t>40</m:t>
                                </m:r>
                              </m:e>
                              <m:e>
                                <m:r>
                                  <w:rPr>
                                    <w:rFonts w:ascii="Cambria Math" w:hAnsi="Cambria Math"/>
                                  </w:rPr>
                                  <m:t>156</m:t>
                                </m:r>
                              </m:e>
                            </m:mr>
                          </m:m>
                        </m:e>
                      </m:mr>
                    </m:m>
                  </m:e>
                </m:mr>
              </m:m>
              <m:r>
                <w:rPr>
                  <w:rFonts w:ascii="Cambria Math" w:hAnsi="Cambria Math"/>
                </w:rPr>
                <m:t xml:space="preserve"> </m:t>
              </m:r>
            </m:e>
          </m:d>
        </m:oMath>
      </m:oMathPara>
    </w:p>
    <w:p w14:paraId="306792EE" w14:textId="7402D2ED" w:rsidR="00785029" w:rsidRDefault="00785029" w:rsidP="008A3BA0"/>
    <w:p w14:paraId="2B62C802" w14:textId="6DFBC324" w:rsidR="00785029" w:rsidRDefault="00785029" w:rsidP="008A3BA0">
      <w:r>
        <w:t xml:space="preserve">Using the SVD function to decompose the above matrix </w:t>
      </w:r>
      <m:oMath>
        <m:r>
          <m:rPr>
            <m:sty m:val="bi"/>
          </m:rPr>
          <w:rPr>
            <w:rFonts w:ascii="Cambria Math" w:hAnsi="Cambria Math"/>
          </w:rPr>
          <m:t>X</m:t>
        </m:r>
      </m:oMath>
      <w:r>
        <w:t xml:space="preserve"> </w:t>
      </w:r>
      <w:r w:rsidR="008C7BAE">
        <w:t xml:space="preserve">into the three matrices in the SVD equation and subsequently multiplying the </w:t>
      </w:r>
      <w:r w:rsidR="008C7BAE" w:rsidRPr="008C7BAE">
        <w:rPr>
          <w:b/>
          <w:i/>
        </w:rPr>
        <w:t>U</w:t>
      </w:r>
      <w:r w:rsidR="008C7BAE">
        <w:rPr>
          <w:b/>
          <w:i/>
        </w:rPr>
        <w:t xml:space="preserve"> </w:t>
      </w:r>
      <w:r w:rsidR="008C7BAE">
        <w:t xml:space="preserve">and </w:t>
      </w:r>
      <w:r w:rsidR="008C7BAE">
        <w:rPr>
          <w:b/>
          <w:i/>
        </w:rPr>
        <w:t>S</w:t>
      </w:r>
      <w:r w:rsidR="008C7BAE">
        <w:t xml:space="preserve"> matrixes, the following matrix is obtained.</w:t>
      </w:r>
    </w:p>
    <w:p w14:paraId="47C980A1" w14:textId="49066F46" w:rsidR="008C7BAE" w:rsidRPr="00FB3E23" w:rsidRDefault="0039388F" w:rsidP="008C7BAE">
      <m:oMathPara>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SVD</m:t>
              </m:r>
            </m:sub>
          </m:sSub>
          <m:r>
            <m:rPr>
              <m:sty m:val="bi"/>
            </m:rPr>
            <w:rPr>
              <w:rFonts w:ascii="Cambria Math" w:hAnsi="Cambria Math"/>
            </w:rPr>
            <m:t>=</m:t>
          </m:r>
          <m:d>
            <m:dPr>
              <m:begChr m:val="["/>
              <m:endChr m:val="]"/>
              <m:ctrlPr>
                <w:rPr>
                  <w:rFonts w:ascii="Cambria Math" w:hAnsi="Cambria Math"/>
                  <w:i/>
                </w:rPr>
              </m:ctrlPr>
            </m:dPr>
            <m:e>
              <m:r>
                <w:rPr>
                  <w:rFonts w:ascii="Cambria Math" w:hAnsi="Cambria Math"/>
                </w:rPr>
                <m:t xml:space="preserve"> </m:t>
              </m:r>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-1.085</m:t>
                                </m:r>
                              </m:e>
                              <m:e>
                                <m:r>
                                  <w:rPr>
                                    <w:rFonts w:ascii="Cambria Math" w:hAnsi="Cambria Math"/>
                                  </w:rPr>
                                  <m:t>-0.420</m:t>
                                </m:r>
                              </m:e>
                            </m:mr>
                          </m:m>
                        </m:e>
                      </m:mr>
                      <m:mr>
                        <m:e>
                          <m:m>
                            <m:mPr>
                              <m:mcs>
                                <m:mc>
                                  <m:mcPr>
                                    <m:count m:val="2"/>
                                    <m:mcJc m:val="center"/>
                                  </m:mcPr>
                                </m:mc>
                              </m:mcs>
                              <m:ctrlPr>
                                <w:rPr>
                                  <w:rFonts w:ascii="Cambria Math" w:hAnsi="Cambria Math"/>
                                  <w:i/>
                                </w:rPr>
                              </m:ctrlPr>
                            </m:mPr>
                            <m:mr>
                              <m:e>
                                <m:r>
                                  <w:rPr>
                                    <w:rFonts w:ascii="Cambria Math" w:hAnsi="Cambria Math"/>
                                  </w:rPr>
                                  <m:t>-0.201</m:t>
                                </m:r>
                              </m:e>
                              <m:e>
                                <m:r>
                                  <w:rPr>
                                    <w:rFonts w:ascii="Cambria Math" w:hAnsi="Cambria Math"/>
                                  </w:rPr>
                                  <m:t>0.500</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0.644</m:t>
                                </m:r>
                              </m:e>
                              <m:e>
                                <m:r>
                                  <w:rPr>
                                    <w:rFonts w:ascii="Cambria Math" w:hAnsi="Cambria Math"/>
                                  </w:rPr>
                                  <m:t>0.169</m:t>
                                </m:r>
                              </m:e>
                            </m:mr>
                          </m:m>
                        </m:e>
                      </m:mr>
                      <m:mr>
                        <m:e>
                          <m:m>
                            <m:mPr>
                              <m:mcs>
                                <m:mc>
                                  <m:mcPr>
                                    <m:count m:val="2"/>
                                    <m:mcJc m:val="center"/>
                                  </m:mcPr>
                                </m:mc>
                              </m:mcs>
                              <m:ctrlPr>
                                <w:rPr>
                                  <w:rFonts w:ascii="Cambria Math" w:hAnsi="Cambria Math"/>
                                  <w:i/>
                                </w:rPr>
                              </m:ctrlPr>
                            </m:mPr>
                            <m:mr>
                              <m:e>
                                <m:r>
                                  <w:rPr>
                                    <w:rFonts w:ascii="Cambria Math" w:hAnsi="Cambria Math"/>
                                  </w:rPr>
                                  <m:t>1.046</m:t>
                                </m:r>
                              </m:e>
                              <m:e>
                                <m:r>
                                  <w:rPr>
                                    <w:rFonts w:ascii="Cambria Math" w:hAnsi="Cambria Math"/>
                                  </w:rPr>
                                  <m:t>-0.147</m:t>
                                </m:r>
                              </m:e>
                            </m:mr>
                          </m:m>
                        </m:e>
                      </m:mr>
                    </m:m>
                  </m:e>
                </m:mr>
                <m:mr>
                  <m:e>
                    <m:m>
                      <m:mPr>
                        <m:mcs>
                          <m:mc>
                            <m:mcPr>
                              <m:count m:val="1"/>
                              <m:mcJc m:val="center"/>
                            </m:mcPr>
                          </m:mc>
                        </m:mcs>
                        <m:ctrlPr>
                          <w:rPr>
                            <w:rFonts w:ascii="Cambria Math" w:hAnsi="Cambria Math"/>
                            <w:i/>
                          </w:rPr>
                        </m:ctrlPr>
                      </m:mPr>
                      <m:mr>
                        <m:e>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0.134</m:t>
                                </m:r>
                              </m:e>
                              <m:e>
                                <m:r>
                                  <w:rPr>
                                    <w:rFonts w:ascii="Cambria Math" w:hAnsi="Cambria Math"/>
                                  </w:rPr>
                                  <m:t xml:space="preserve"> 2.108</m:t>
                                </m:r>
                              </m:e>
                            </m:mr>
                          </m:m>
                        </m:e>
                      </m:mr>
                      <m:mr>
                        <m:e>
                          <m:m>
                            <m:mPr>
                              <m:mcs>
                                <m:mc>
                                  <m:mcPr>
                                    <m:count m:val="2"/>
                                    <m:mcJc m:val="center"/>
                                  </m:mcPr>
                                </m:mc>
                              </m:mcs>
                              <m:ctrlPr>
                                <w:rPr>
                                  <w:rFonts w:ascii="Cambria Math" w:hAnsi="Cambria Math"/>
                                  <w:i/>
                                </w:rPr>
                              </m:ctrlPr>
                            </m:mPr>
                            <m:mr>
                              <m:e>
                                <m:r>
                                  <w:rPr>
                                    <w:rFonts w:ascii="Cambria Math" w:hAnsi="Cambria Math"/>
                                  </w:rPr>
                                  <m:t>-1.406</m:t>
                                </m:r>
                              </m:e>
                              <m:e>
                                <m:r>
                                  <w:rPr>
                                    <w:rFonts w:ascii="Cambria Math" w:hAnsi="Cambria Math"/>
                                  </w:rPr>
                                  <m:t>-1.251</m:t>
                                </m:r>
                              </m:e>
                            </m:mr>
                          </m:m>
                        </m:e>
                      </m:mr>
                      <m:mr>
                        <m:e>
                          <m:m>
                            <m:mPr>
                              <m:mcs>
                                <m:mc>
                                  <m:mcPr>
                                    <m:count m:val="2"/>
                                    <m:mcJc m:val="center"/>
                                  </m:mcPr>
                                </m:mc>
                              </m:mcs>
                              <m:ctrlPr>
                                <w:rPr>
                                  <w:rFonts w:ascii="Cambria Math" w:hAnsi="Cambria Math"/>
                                  <w:i/>
                                </w:rPr>
                              </m:ctrlPr>
                            </m:mPr>
                            <m:mr>
                              <m:e>
                                <m:r>
                                  <w:rPr>
                                    <w:rFonts w:ascii="Cambria Math" w:hAnsi="Cambria Math"/>
                                  </w:rPr>
                                  <m:t>2.559</m:t>
                                </m:r>
                              </m:e>
                              <m:e>
                                <m:r>
                                  <w:rPr>
                                    <w:rFonts w:ascii="Cambria Math" w:hAnsi="Cambria Math"/>
                                  </w:rPr>
                                  <m:t>-0.937</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-0.701</m:t>
                                </m:r>
                              </m:e>
                              <m:e>
                                <m:r>
                                  <w:rPr>
                                    <w:rFonts w:ascii="Cambria Math" w:hAnsi="Cambria Math"/>
                                  </w:rPr>
                                  <m:t>0.033</m:t>
                                </m:r>
                              </m:e>
                            </m:mr>
                          </m:m>
                        </m:e>
                      </m:mr>
                      <m:mr>
                        <m:e>
                          <m:m>
                            <m:mPr>
                              <m:mcs>
                                <m:mc>
                                  <m:mcPr>
                                    <m:count m:val="2"/>
                                    <m:mcJc m:val="center"/>
                                  </m:mcPr>
                                </m:mc>
                              </m:mcs>
                              <m:ctrlPr>
                                <w:rPr>
                                  <w:rFonts w:ascii="Cambria Math" w:hAnsi="Cambria Math"/>
                                  <w:i/>
                                </w:rPr>
                              </m:ctrlPr>
                            </m:mPr>
                            <m:mr>
                              <m:e>
                                <m:r>
                                  <w:rPr>
                                    <w:rFonts w:ascii="Cambria Math" w:hAnsi="Cambria Math"/>
                                  </w:rPr>
                                  <m:t>-0.911</m:t>
                                </m:r>
                              </m:e>
                              <m:e>
                                <m:r>
                                  <w:rPr>
                                    <w:rFonts w:ascii="Cambria Math" w:hAnsi="Cambria Math"/>
                                  </w:rPr>
                                  <m:t>-0.073</m:t>
                                </m:r>
                              </m:e>
                            </m:mr>
                          </m:m>
                        </m:e>
                      </m:mr>
                      <m:mr>
                        <m:e>
                          <m:m>
                            <m:mPr>
                              <m:mcs>
                                <m:mc>
                                  <m:mcPr>
                                    <m:count m:val="2"/>
                                    <m:mcJc m:val="center"/>
                                  </m:mcPr>
                                </m:mc>
                              </m:mcs>
                              <m:ctrlPr>
                                <w:rPr>
                                  <w:rFonts w:ascii="Cambria Math" w:hAnsi="Cambria Math"/>
                                  <w:i/>
                                </w:rPr>
                              </m:ctrlPr>
                            </m:mPr>
                            <m:mr>
                              <m:e>
                                <m:r>
                                  <w:rPr>
                                    <w:rFonts w:ascii="Cambria Math" w:hAnsi="Cambria Math"/>
                                  </w:rPr>
                                  <m:t>-0.099</m:t>
                                </m:r>
                              </m:e>
                              <m:e>
                                <m:r>
                                  <w:rPr>
                                    <w:rFonts w:ascii="Cambria Math" w:hAnsi="Cambria Math"/>
                                  </w:rPr>
                                  <m:t>0.018</m:t>
                                </m:r>
                              </m:e>
                            </m:mr>
                          </m:m>
                        </m:e>
                      </m:mr>
                    </m:m>
                  </m:e>
                </m:mr>
              </m:m>
              <m:r>
                <w:rPr>
                  <w:rFonts w:ascii="Cambria Math" w:hAnsi="Cambria Math"/>
                </w:rPr>
                <m:t xml:space="preserve"> </m:t>
              </m:r>
            </m:e>
          </m:d>
        </m:oMath>
      </m:oMathPara>
    </w:p>
    <w:p w14:paraId="38CF7B69" w14:textId="77777777" w:rsidR="00FB3E23" w:rsidRDefault="00FB3E23" w:rsidP="008C7BAE"/>
    <w:p w14:paraId="3A395955" w14:textId="74173169" w:rsidR="00FB3E23" w:rsidRDefault="00FB3E23" w:rsidP="008C7BAE">
      <w:r>
        <w:t xml:space="preserve">Then using the </w:t>
      </w:r>
      <w:proofErr w:type="spellStart"/>
      <w:r>
        <w:rPr>
          <w:i/>
        </w:rPr>
        <w:t>sklearn</w:t>
      </w:r>
      <w:proofErr w:type="spellEnd"/>
      <w:r>
        <w:t xml:space="preserve"> decomposition library for the PCA function on the original data matrix and subsequently transforming the results into the PC-space, the following matrix is obtained.</w:t>
      </w:r>
    </w:p>
    <w:p w14:paraId="0ABE4523" w14:textId="77777777" w:rsidR="00FB3E23" w:rsidRPr="00FB3E23" w:rsidRDefault="00FB3E23" w:rsidP="008C7BAE"/>
    <w:p w14:paraId="298ABB3B" w14:textId="24ADCA5F" w:rsidR="00FB3E23" w:rsidRPr="00785029" w:rsidRDefault="0039388F" w:rsidP="00FB3E23">
      <m:oMathPara>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PCA</m:t>
              </m:r>
            </m:sub>
          </m:sSub>
          <m:r>
            <m:rPr>
              <m:sty m:val="bi"/>
            </m:rPr>
            <w:rPr>
              <w:rFonts w:ascii="Cambria Math" w:hAnsi="Cambria Math"/>
            </w:rPr>
            <m:t>=</m:t>
          </m:r>
          <m:d>
            <m:dPr>
              <m:begChr m:val="["/>
              <m:endChr m:val="]"/>
              <m:ctrlPr>
                <w:rPr>
                  <w:rFonts w:ascii="Cambria Math" w:hAnsi="Cambria Math"/>
                  <w:i/>
                </w:rPr>
              </m:ctrlPr>
            </m:dPr>
            <m:e>
              <m:r>
                <w:rPr>
                  <w:rFonts w:ascii="Cambria Math" w:hAnsi="Cambria Math"/>
                </w:rPr>
                <m:t xml:space="preserve"> </m:t>
              </m:r>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-1.085</m:t>
                                </m:r>
                              </m:e>
                              <m:e>
                                <m:r>
                                  <w:rPr>
                                    <w:rFonts w:ascii="Cambria Math" w:hAnsi="Cambria Math"/>
                                  </w:rPr>
                                  <m:t>-0.420</m:t>
                                </m:r>
                              </m:e>
                            </m:mr>
                          </m:m>
                        </m:e>
                      </m:mr>
                      <m:mr>
                        <m:e>
                          <m:m>
                            <m:mPr>
                              <m:mcs>
                                <m:mc>
                                  <m:mcPr>
                                    <m:count m:val="2"/>
                                    <m:mcJc m:val="center"/>
                                  </m:mcPr>
                                </m:mc>
                              </m:mcs>
                              <m:ctrlPr>
                                <w:rPr>
                                  <w:rFonts w:ascii="Cambria Math" w:hAnsi="Cambria Math"/>
                                  <w:i/>
                                </w:rPr>
                              </m:ctrlPr>
                            </m:mPr>
                            <m:mr>
                              <m:e>
                                <m:r>
                                  <w:rPr>
                                    <w:rFonts w:ascii="Cambria Math" w:hAnsi="Cambria Math"/>
                                  </w:rPr>
                                  <m:t>-0.201</m:t>
                                </m:r>
                              </m:e>
                              <m:e>
                                <m:r>
                                  <w:rPr>
                                    <w:rFonts w:ascii="Cambria Math" w:hAnsi="Cambria Math"/>
                                  </w:rPr>
                                  <m:t>0.500</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0.644</m:t>
                                </m:r>
                              </m:e>
                              <m:e>
                                <m:r>
                                  <w:rPr>
                                    <w:rFonts w:ascii="Cambria Math" w:hAnsi="Cambria Math"/>
                                  </w:rPr>
                                  <m:t>0.169</m:t>
                                </m:r>
                              </m:e>
                            </m:mr>
                          </m:m>
                        </m:e>
                      </m:mr>
                      <m:mr>
                        <m:e>
                          <m:m>
                            <m:mPr>
                              <m:mcs>
                                <m:mc>
                                  <m:mcPr>
                                    <m:count m:val="2"/>
                                    <m:mcJc m:val="center"/>
                                  </m:mcPr>
                                </m:mc>
                              </m:mcs>
                              <m:ctrlPr>
                                <w:rPr>
                                  <w:rFonts w:ascii="Cambria Math" w:hAnsi="Cambria Math"/>
                                  <w:i/>
                                </w:rPr>
                              </m:ctrlPr>
                            </m:mPr>
                            <m:mr>
                              <m:e>
                                <m:r>
                                  <w:rPr>
                                    <w:rFonts w:ascii="Cambria Math" w:hAnsi="Cambria Math"/>
                                  </w:rPr>
                                  <m:t>1.046</m:t>
                                </m:r>
                              </m:e>
                              <m:e>
                                <m:r>
                                  <w:rPr>
                                    <w:rFonts w:ascii="Cambria Math" w:hAnsi="Cambria Math"/>
                                  </w:rPr>
                                  <m:t>-0.147</m:t>
                                </m:r>
                              </m:e>
                            </m:mr>
                          </m:m>
                        </m:e>
                      </m:mr>
                    </m:m>
                  </m:e>
                </m:mr>
                <m:m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0.134</m:t>
                                </m:r>
                              </m:e>
                              <m:e>
                                <m:r>
                                  <w:rPr>
                                    <w:rFonts w:ascii="Cambria Math" w:hAnsi="Cambria Math"/>
                                  </w:rPr>
                                  <m:t>2.108</m:t>
                                </m:r>
                              </m:e>
                            </m:mr>
                          </m:m>
                        </m:e>
                      </m:mr>
                      <m:mr>
                        <m:e>
                          <m:m>
                            <m:mPr>
                              <m:mcs>
                                <m:mc>
                                  <m:mcPr>
                                    <m:count m:val="2"/>
                                    <m:mcJc m:val="center"/>
                                  </m:mcPr>
                                </m:mc>
                              </m:mcs>
                              <m:ctrlPr>
                                <w:rPr>
                                  <w:rFonts w:ascii="Cambria Math" w:hAnsi="Cambria Math"/>
                                  <w:i/>
                                </w:rPr>
                              </m:ctrlPr>
                            </m:mPr>
                            <m:mr>
                              <m:e>
                                <m:r>
                                  <w:rPr>
                                    <w:rFonts w:ascii="Cambria Math" w:hAnsi="Cambria Math"/>
                                  </w:rPr>
                                  <m:t>-1.406</m:t>
                                </m:r>
                              </m:e>
                              <m:e>
                                <m:r>
                                  <w:rPr>
                                    <w:rFonts w:ascii="Cambria Math" w:hAnsi="Cambria Math"/>
                                  </w:rPr>
                                  <m:t>-1.251</m:t>
                                </m:r>
                              </m:e>
                            </m:mr>
                          </m:m>
                        </m:e>
                      </m:mr>
                      <m:mr>
                        <m:e>
                          <m:m>
                            <m:mPr>
                              <m:mcs>
                                <m:mc>
                                  <m:mcPr>
                                    <m:count m:val="2"/>
                                    <m:mcJc m:val="center"/>
                                  </m:mcPr>
                                </m:mc>
                              </m:mcs>
                              <m:ctrlPr>
                                <w:rPr>
                                  <w:rFonts w:ascii="Cambria Math" w:hAnsi="Cambria Math"/>
                                  <w:i/>
                                </w:rPr>
                              </m:ctrlPr>
                            </m:mPr>
                            <m:mr>
                              <m:e>
                                <m:r>
                                  <w:rPr>
                                    <w:rFonts w:ascii="Cambria Math" w:hAnsi="Cambria Math"/>
                                  </w:rPr>
                                  <m:t>2.559</m:t>
                                </m:r>
                              </m:e>
                              <m:e>
                                <m:r>
                                  <w:rPr>
                                    <w:rFonts w:ascii="Cambria Math" w:hAnsi="Cambria Math"/>
                                  </w:rPr>
                                  <m:t>-0.937</m:t>
                                </m:r>
                              </m:e>
                            </m:mr>
                          </m:m>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-0.701</m:t>
                                </m:r>
                              </m:e>
                              <m:e>
                                <m:r>
                                  <w:rPr>
                                    <w:rFonts w:ascii="Cambria Math" w:hAnsi="Cambria Math"/>
                                  </w:rPr>
                                  <m:t>0.033</m:t>
                                </m:r>
                              </m:e>
                            </m:mr>
                          </m:m>
                        </m:e>
                      </m:mr>
                      <m:mr>
                        <m:e>
                          <m:m>
                            <m:mPr>
                              <m:mcs>
                                <m:mc>
                                  <m:mcPr>
                                    <m:count m:val="2"/>
                                    <m:mcJc m:val="center"/>
                                  </m:mcPr>
                                </m:mc>
                              </m:mcs>
                              <m:ctrlPr>
                                <w:rPr>
                                  <w:rFonts w:ascii="Cambria Math" w:hAnsi="Cambria Math"/>
                                  <w:i/>
                                </w:rPr>
                              </m:ctrlPr>
                            </m:mPr>
                            <m:mr>
                              <m:e>
                                <m:r>
                                  <w:rPr>
                                    <w:rFonts w:ascii="Cambria Math" w:hAnsi="Cambria Math"/>
                                  </w:rPr>
                                  <m:t>-0.911</m:t>
                                </m:r>
                              </m:e>
                              <m:e>
                                <m:r>
                                  <w:rPr>
                                    <w:rFonts w:ascii="Cambria Math" w:hAnsi="Cambria Math"/>
                                  </w:rPr>
                                  <m:t>-0.073</m:t>
                                </m:r>
                              </m:e>
                            </m:mr>
                          </m:m>
                        </m:e>
                      </m:mr>
                      <m:mr>
                        <m:e>
                          <m:m>
                            <m:mPr>
                              <m:mcs>
                                <m:mc>
                                  <m:mcPr>
                                    <m:count m:val="2"/>
                                    <m:mcJc m:val="center"/>
                                  </m:mcPr>
                                </m:mc>
                              </m:mcs>
                              <m:ctrlPr>
                                <w:rPr>
                                  <w:rFonts w:ascii="Cambria Math" w:hAnsi="Cambria Math"/>
                                  <w:i/>
                                </w:rPr>
                              </m:ctrlPr>
                            </m:mPr>
                            <m:mr>
                              <m:e>
                                <m:r>
                                  <w:rPr>
                                    <w:rFonts w:ascii="Cambria Math" w:hAnsi="Cambria Math"/>
                                  </w:rPr>
                                  <m:t>-0.099</m:t>
                                </m:r>
                              </m:e>
                              <m:e>
                                <m:r>
                                  <w:rPr>
                                    <w:rFonts w:ascii="Cambria Math" w:hAnsi="Cambria Math"/>
                                  </w:rPr>
                                  <m:t>0.018</m:t>
                                </m:r>
                              </m:e>
                            </m:mr>
                          </m:m>
                        </m:e>
                      </m:mr>
                    </m:m>
                  </m:e>
                </m:mr>
              </m:m>
              <m:r>
                <w:rPr>
                  <w:rFonts w:ascii="Cambria Math" w:hAnsi="Cambria Math"/>
                </w:rPr>
                <m:t xml:space="preserve"> </m:t>
              </m:r>
            </m:e>
          </m:d>
        </m:oMath>
      </m:oMathPara>
    </w:p>
    <w:p w14:paraId="3AC81998" w14:textId="77777777" w:rsidR="00FB3E23" w:rsidRDefault="00FB3E23" w:rsidP="008C7BAE"/>
    <w:p w14:paraId="7A4527DA" w14:textId="3C075B34" w:rsidR="00153E2D" w:rsidRDefault="00BD70B3" w:rsidP="008C7BAE">
      <w:r>
        <w:t>C</w:t>
      </w:r>
      <w:r w:rsidR="00446819">
        <w:t xml:space="preserve">omparing the two resulting matrices shows the matrices are identical. </w:t>
      </w:r>
      <w:r w:rsidR="00153E2D">
        <w:t>This provides confidence in the usefulness and correctness of using th</w:t>
      </w:r>
      <w:r w:rsidR="009941A4">
        <w:t xml:space="preserve">e singular values from the SVD method. </w:t>
      </w:r>
      <w:r w:rsidR="009546D4">
        <w:t xml:space="preserve"> </w:t>
      </w:r>
    </w:p>
    <w:p w14:paraId="003DC3B5" w14:textId="17548DEF" w:rsidR="009546D4" w:rsidRDefault="009546D4" w:rsidP="008C7BAE">
      <w:r>
        <w:t>Upon calculating these values, the amount of variance explained by each PC can be used to calc</w:t>
      </w:r>
      <w:r w:rsidR="007B30AC">
        <w:t>ul</w:t>
      </w:r>
      <w:r>
        <w:t xml:space="preserve">ate the appropriate of number PCs or dimensions to use for the k-Means portion. </w:t>
      </w:r>
      <w:r w:rsidR="00910525">
        <w:t>A common approach is to choose an amount of variance to be explained by the lower-dimensioned matrix, say 90%,</w:t>
      </w:r>
      <w:r w:rsidR="00845E0C">
        <w:t xml:space="preserve"> or choose a parameter where the variance slope changes drastically, called the </w:t>
      </w:r>
      <w:r w:rsidR="00845E0C">
        <w:rPr>
          <w:i/>
        </w:rPr>
        <w:t>Elbow Method</w:t>
      </w:r>
      <w:r w:rsidR="00845E0C">
        <w:t xml:space="preserve">. </w:t>
      </w:r>
      <w:r w:rsidR="00AD0DA0">
        <w:t>Both</w:t>
      </w:r>
      <w:r w:rsidR="00EA4A84">
        <w:t xml:space="preserve"> approaches </w:t>
      </w:r>
      <w:r w:rsidR="00AD0DA0">
        <w:t>use</w:t>
      </w:r>
      <w:r w:rsidR="00EA4A84">
        <w:t xml:space="preserve"> a</w:t>
      </w:r>
      <w:r w:rsidR="00EA4A84">
        <w:rPr>
          <w:i/>
        </w:rPr>
        <w:t xml:space="preserve"> Scree graph</w:t>
      </w:r>
      <w:r w:rsidR="00F709BA">
        <w:rPr>
          <w:i/>
        </w:rPr>
        <w:t>,</w:t>
      </w:r>
      <w:r w:rsidR="00EA4A84">
        <w:t xml:space="preserve"> which plots the variance explained per each PC, or eigenvector, kept for analysis</w:t>
      </w:r>
      <w:r w:rsidR="00F709BA">
        <w:t>. The</w:t>
      </w:r>
      <w:r w:rsidR="00E565F7">
        <w:t xml:space="preserve"> graph looks similar to an inverse function </w:t>
      </w:r>
      <w:r w:rsidR="00BD70B3">
        <w:t xml:space="preserve">(i.e. </w:t>
      </w:r>
      <m:oMath>
        <m:r>
          <w:rPr>
            <w:rFonts w:ascii="Cambria Math" w:hAnsi="Cambria Math"/>
          </w:rPr>
          <m:t>1/x</m:t>
        </m:r>
      </m:oMath>
      <w:r w:rsidR="00BD70B3">
        <w:t xml:space="preserve"> )</w:t>
      </w:r>
      <w:r w:rsidR="00E565F7">
        <w:t xml:space="preserve">, where the first PC contains the highest variance explained and decreases as the number of PCs employed increases. This graph is created later in this report and used to choose the appropriate number of the PCs to utilize. </w:t>
      </w:r>
    </w:p>
    <w:p w14:paraId="6B54A5F9" w14:textId="77777777" w:rsidR="00AC373B" w:rsidRDefault="00AC373B">
      <w:pPr>
        <w:spacing w:after="160" w:line="259" w:lineRule="auto"/>
        <w:rPr>
          <w:rFonts w:eastAsiaTheme="majorEastAsia" w:cstheme="majorBidi"/>
          <w:b/>
          <w:bCs/>
          <w:sz w:val="32"/>
          <w:szCs w:val="32"/>
        </w:rPr>
      </w:pPr>
      <w:r>
        <w:br w:type="page"/>
      </w:r>
    </w:p>
    <w:p w14:paraId="342B32D8" w14:textId="4AC10E76" w:rsidR="00AA04F4" w:rsidRDefault="00AA04F4" w:rsidP="00AA04F4">
      <w:pPr>
        <w:pStyle w:val="Heading1"/>
      </w:pPr>
      <w:r>
        <w:lastRenderedPageBreak/>
        <w:t>2 Data Exploration</w:t>
      </w:r>
    </w:p>
    <w:p w14:paraId="15EE00AD" w14:textId="2735A583" w:rsidR="00AC373B" w:rsidRDefault="00426D0A" w:rsidP="00AA04F4">
      <w:r>
        <w:t xml:space="preserve">This project uses a </w:t>
      </w:r>
      <w:r w:rsidR="00077401">
        <w:t>(699</w:t>
      </w:r>
      <w:r w:rsidR="009C36E2">
        <w:t xml:space="preserve"> </w:t>
      </w:r>
      <w:r w:rsidR="009C36E2" w:rsidRPr="00D678E4">
        <w:rPr>
          <w:i/>
        </w:rPr>
        <w:t>row</w:t>
      </w:r>
      <w:r w:rsidR="009C36E2">
        <w:t xml:space="preserve"> </w:t>
      </w:r>
      <w:r w:rsidR="009C36E2">
        <w:sym w:font="Symbol" w:char="F0B4"/>
      </w:r>
      <w:r w:rsidR="009C36E2" w:rsidRPr="009C36E2">
        <w:t xml:space="preserve"> 11</w:t>
      </w:r>
      <w:r w:rsidR="009C36E2">
        <w:t xml:space="preserve"> </w:t>
      </w:r>
      <w:r w:rsidR="009C36E2" w:rsidRPr="00D678E4">
        <w:rPr>
          <w:i/>
        </w:rPr>
        <w:t>column</w:t>
      </w:r>
      <w:r w:rsidR="009C36E2" w:rsidRPr="009C36E2">
        <w:t xml:space="preserve">) </w:t>
      </w:r>
      <w:r>
        <w:t xml:space="preserve">dataset </w:t>
      </w:r>
      <w:r w:rsidR="00B73F87">
        <w:t>from the state of Wisconsin with ten parameters</w:t>
      </w:r>
      <w:r w:rsidR="00363B7E">
        <w:t xml:space="preserve"> and a binary classification feature for breast cancer. </w:t>
      </w:r>
      <w:r w:rsidR="00F74091">
        <w:t>The data features with the reported value range for the Wisconsin breast cancer dataset are as follows:</w:t>
      </w:r>
    </w:p>
    <w:p w14:paraId="6341532D" w14:textId="77777777" w:rsidR="00F219E8" w:rsidRDefault="00F219E8" w:rsidP="00AA04F4"/>
    <w:p w14:paraId="0A789BB0" w14:textId="16537527" w:rsidR="000F7850" w:rsidRPr="000F7850" w:rsidRDefault="000F7850" w:rsidP="00AA04F4">
      <w:pPr>
        <w:rPr>
          <w:b/>
        </w:rPr>
      </w:pPr>
      <w:r>
        <w:tab/>
      </w:r>
      <w:r w:rsidR="0069010B">
        <w:t xml:space="preserve">      </w:t>
      </w:r>
      <w:r w:rsidRPr="000F7850">
        <w:rPr>
          <w:b/>
        </w:rPr>
        <w:t>Data Feature</w:t>
      </w:r>
      <w:r w:rsidR="00A14228">
        <w:rPr>
          <w:b/>
        </w:rPr>
        <w:t>s</w:t>
      </w:r>
      <w:r w:rsidR="0069010B">
        <w:rPr>
          <w:b/>
        </w:rPr>
        <w:tab/>
      </w:r>
      <w:r w:rsidR="0069010B">
        <w:rPr>
          <w:b/>
        </w:rPr>
        <w:tab/>
      </w:r>
      <w:r>
        <w:rPr>
          <w:b/>
        </w:rPr>
        <w:t>Value</w:t>
      </w:r>
      <w:r w:rsidR="00A14228">
        <w:rPr>
          <w:b/>
        </w:rPr>
        <w:t>s</w:t>
      </w:r>
    </w:p>
    <w:p w14:paraId="4F38D626" w14:textId="65A2AD8B" w:rsidR="00F74091" w:rsidRDefault="00F74091" w:rsidP="00F74091">
      <w:pPr>
        <w:pStyle w:val="ListParagraph"/>
        <w:numPr>
          <w:ilvl w:val="0"/>
          <w:numId w:val="8"/>
        </w:numPr>
      </w:pPr>
      <w:r w:rsidRPr="00F74091">
        <w:rPr>
          <w:i/>
        </w:rPr>
        <w:t xml:space="preserve">Sample </w:t>
      </w:r>
      <w:r>
        <w:rPr>
          <w:i/>
        </w:rPr>
        <w:t>Code</w:t>
      </w:r>
      <w:r w:rsidRPr="00F74091">
        <w:rPr>
          <w:i/>
        </w:rPr>
        <w:t xml:space="preserve"> </w:t>
      </w:r>
      <w:r>
        <w:rPr>
          <w:i/>
        </w:rPr>
        <w:t>Number</w:t>
      </w:r>
      <w:r>
        <w:t xml:space="preserve"> </w:t>
      </w:r>
      <w:r w:rsidR="000F7850">
        <w:tab/>
        <w:t>ID</w:t>
      </w:r>
      <w:r>
        <w:t xml:space="preserve"> </w:t>
      </w:r>
      <w:r w:rsidR="000F7850">
        <w:t>no.</w:t>
      </w:r>
      <w:r>
        <w:t xml:space="preserve"> </w:t>
      </w:r>
    </w:p>
    <w:p w14:paraId="527C4E10" w14:textId="61BCFF9A" w:rsidR="00F74091" w:rsidRDefault="00F74091" w:rsidP="00F74091">
      <w:pPr>
        <w:pStyle w:val="ListParagraph"/>
        <w:numPr>
          <w:ilvl w:val="0"/>
          <w:numId w:val="8"/>
        </w:numPr>
      </w:pPr>
      <w:r w:rsidRPr="00F74091">
        <w:rPr>
          <w:i/>
        </w:rPr>
        <w:t>Clump</w:t>
      </w:r>
      <w:r>
        <w:t xml:space="preserve"> </w:t>
      </w:r>
      <w:r w:rsidRPr="00F74091">
        <w:rPr>
          <w:i/>
        </w:rPr>
        <w:t>Thickness</w:t>
      </w:r>
      <w:r>
        <w:t xml:space="preserve"> </w:t>
      </w:r>
      <w:r w:rsidR="000F7850">
        <w:tab/>
      </w:r>
      <w:r w:rsidR="000F7850">
        <w:tab/>
      </w:r>
      <w:r>
        <w:t>1 – 10</w:t>
      </w:r>
    </w:p>
    <w:p w14:paraId="05CBA8FD" w14:textId="52C843CB" w:rsidR="00F74091" w:rsidRDefault="00F74091" w:rsidP="00F74091">
      <w:pPr>
        <w:pStyle w:val="ListParagraph"/>
        <w:numPr>
          <w:ilvl w:val="0"/>
          <w:numId w:val="8"/>
        </w:numPr>
      </w:pPr>
      <w:r w:rsidRPr="00F74091">
        <w:rPr>
          <w:i/>
        </w:rPr>
        <w:t>Uniformity of Cell Size</w:t>
      </w:r>
      <w:r>
        <w:t xml:space="preserve"> </w:t>
      </w:r>
      <w:r w:rsidR="000F7850">
        <w:tab/>
      </w:r>
      <w:r>
        <w:t xml:space="preserve">1 – 10 </w:t>
      </w:r>
    </w:p>
    <w:p w14:paraId="711E97F9" w14:textId="3F0E92A9" w:rsidR="00F74091" w:rsidRDefault="00F74091" w:rsidP="00F74091">
      <w:pPr>
        <w:pStyle w:val="ListParagraph"/>
        <w:numPr>
          <w:ilvl w:val="0"/>
          <w:numId w:val="8"/>
        </w:numPr>
      </w:pPr>
      <w:r w:rsidRPr="00F74091">
        <w:rPr>
          <w:i/>
        </w:rPr>
        <w:t>Uniformity of Cell Shape</w:t>
      </w:r>
      <w:r>
        <w:t xml:space="preserve"> </w:t>
      </w:r>
      <w:r w:rsidR="000F7850">
        <w:tab/>
      </w:r>
      <w:r>
        <w:t xml:space="preserve">1 – 10 </w:t>
      </w:r>
    </w:p>
    <w:p w14:paraId="3DB90FC9" w14:textId="53EB5555" w:rsidR="00F74091" w:rsidRDefault="00F74091" w:rsidP="00F74091">
      <w:pPr>
        <w:pStyle w:val="ListParagraph"/>
        <w:numPr>
          <w:ilvl w:val="0"/>
          <w:numId w:val="8"/>
        </w:numPr>
      </w:pPr>
      <w:r w:rsidRPr="00F74091">
        <w:rPr>
          <w:i/>
        </w:rPr>
        <w:t>Marginal Adhesion</w:t>
      </w:r>
      <w:r>
        <w:t xml:space="preserve"> </w:t>
      </w:r>
      <w:r w:rsidR="000F7850">
        <w:tab/>
      </w:r>
      <w:r w:rsidR="000F7850">
        <w:tab/>
      </w:r>
      <w:r>
        <w:t>1 – 10</w:t>
      </w:r>
    </w:p>
    <w:p w14:paraId="7F9F743F" w14:textId="4C4FDEBD" w:rsidR="00F74091" w:rsidRDefault="00F74091" w:rsidP="00F74091">
      <w:pPr>
        <w:pStyle w:val="ListParagraph"/>
        <w:numPr>
          <w:ilvl w:val="0"/>
          <w:numId w:val="8"/>
        </w:numPr>
      </w:pPr>
      <w:r w:rsidRPr="00F74091">
        <w:rPr>
          <w:i/>
        </w:rPr>
        <w:t>Single Epithelial Cell Size</w:t>
      </w:r>
      <w:r>
        <w:t xml:space="preserve"> </w:t>
      </w:r>
      <w:r w:rsidR="000F7850">
        <w:tab/>
      </w:r>
      <w:r>
        <w:t xml:space="preserve">1 – 10 </w:t>
      </w:r>
    </w:p>
    <w:p w14:paraId="233B9A1C" w14:textId="2A3C7BCA" w:rsidR="00F74091" w:rsidRDefault="00F74091" w:rsidP="00F74091">
      <w:pPr>
        <w:pStyle w:val="ListParagraph"/>
        <w:numPr>
          <w:ilvl w:val="0"/>
          <w:numId w:val="8"/>
        </w:numPr>
      </w:pPr>
      <w:r w:rsidRPr="00F74091">
        <w:rPr>
          <w:i/>
        </w:rPr>
        <w:t>Bare Nuclei</w:t>
      </w:r>
      <w:r>
        <w:t xml:space="preserve"> </w:t>
      </w:r>
      <w:r w:rsidR="000F7850">
        <w:tab/>
      </w:r>
      <w:r w:rsidR="000F7850">
        <w:tab/>
      </w:r>
      <w:r w:rsidR="000F7850">
        <w:tab/>
      </w:r>
      <w:r>
        <w:t>1 – 10</w:t>
      </w:r>
    </w:p>
    <w:p w14:paraId="4093FC83" w14:textId="1B32336A" w:rsidR="00F74091" w:rsidRDefault="00F74091" w:rsidP="00F74091">
      <w:pPr>
        <w:pStyle w:val="ListParagraph"/>
        <w:numPr>
          <w:ilvl w:val="0"/>
          <w:numId w:val="8"/>
        </w:numPr>
      </w:pPr>
      <w:r w:rsidRPr="00F74091">
        <w:rPr>
          <w:i/>
        </w:rPr>
        <w:t>Bland Chromatin</w:t>
      </w:r>
      <w:r>
        <w:t xml:space="preserve"> </w:t>
      </w:r>
      <w:r w:rsidR="000F7850">
        <w:tab/>
      </w:r>
      <w:r w:rsidR="000F7850">
        <w:tab/>
      </w:r>
      <w:r>
        <w:t>1 – 10</w:t>
      </w:r>
    </w:p>
    <w:p w14:paraId="084B0D5A" w14:textId="72A2D509" w:rsidR="00F74091" w:rsidRDefault="00F74091" w:rsidP="00F74091">
      <w:pPr>
        <w:pStyle w:val="ListParagraph"/>
        <w:numPr>
          <w:ilvl w:val="0"/>
          <w:numId w:val="8"/>
        </w:numPr>
      </w:pPr>
      <w:r w:rsidRPr="00F74091">
        <w:rPr>
          <w:i/>
        </w:rPr>
        <w:t>Normal Nucleoli</w:t>
      </w:r>
      <w:r>
        <w:t xml:space="preserve"> </w:t>
      </w:r>
      <w:r w:rsidR="000F7850">
        <w:tab/>
      </w:r>
      <w:r w:rsidR="000F7850">
        <w:tab/>
      </w:r>
      <w:r>
        <w:t>1 – 10</w:t>
      </w:r>
    </w:p>
    <w:p w14:paraId="5C8A7217" w14:textId="2A404405" w:rsidR="00AC373B" w:rsidRDefault="00F74091" w:rsidP="00F74091">
      <w:pPr>
        <w:pStyle w:val="ListParagraph"/>
        <w:numPr>
          <w:ilvl w:val="0"/>
          <w:numId w:val="8"/>
        </w:numPr>
      </w:pPr>
      <w:r w:rsidRPr="00F74091">
        <w:rPr>
          <w:i/>
        </w:rPr>
        <w:t>Mitoses</w:t>
      </w:r>
      <w:r>
        <w:t xml:space="preserve"> </w:t>
      </w:r>
      <w:r w:rsidR="000F7850">
        <w:tab/>
      </w:r>
      <w:r w:rsidR="000F7850">
        <w:tab/>
      </w:r>
      <w:r w:rsidR="000F7850">
        <w:tab/>
      </w:r>
      <w:r>
        <w:t>1 – 10</w:t>
      </w:r>
    </w:p>
    <w:p w14:paraId="7E7E4543" w14:textId="2EB74BF5" w:rsidR="0069010B" w:rsidRDefault="0069010B" w:rsidP="0069010B"/>
    <w:p w14:paraId="3AC3C932" w14:textId="77777777" w:rsidR="009C36E2" w:rsidRDefault="00E75737" w:rsidP="0069010B">
      <w:r>
        <w:t xml:space="preserve">The data was rescaled to a mean-centered, </w:t>
      </w:r>
      <w:r>
        <w:rPr>
          <w:i/>
        </w:rPr>
        <w:t>z</w:t>
      </w:r>
      <w:r>
        <w:t xml:space="preserve">-standardized range for each feature by </w:t>
      </w:r>
      <w:r w:rsidR="00BB0B18">
        <w:t xml:space="preserve">subtracting each feature by the feature mean value and subsequently dividing by the </w:t>
      </w:r>
      <w:r w:rsidR="009C36E2">
        <w:t xml:space="preserve">feature standard deviation. </w:t>
      </w:r>
    </w:p>
    <w:p w14:paraId="48E9B924" w14:textId="57A1E717" w:rsidR="00E75737" w:rsidRDefault="009C36E2" w:rsidP="0069010B">
      <w:r>
        <w:t xml:space="preserve">Initial exploration </w:t>
      </w:r>
      <w:r w:rsidR="00255D2F">
        <w:t xml:space="preserve">data showed an issue in the </w:t>
      </w:r>
      <w:r w:rsidR="00255D2F">
        <w:rPr>
          <w:i/>
        </w:rPr>
        <w:t>Bare Nuclei</w:t>
      </w:r>
      <w:r w:rsidR="00255D2F">
        <w:t xml:space="preserve">, where </w:t>
      </w:r>
      <w:r w:rsidR="005E7EDD">
        <w:t xml:space="preserve">unexpected </w:t>
      </w:r>
      <w:r w:rsidR="00255D2F">
        <w:t xml:space="preserve">non-integer </w:t>
      </w:r>
      <w:r w:rsidR="005E7EDD">
        <w:t>values were observed</w:t>
      </w:r>
      <w:r w:rsidR="00255D2F">
        <w:t>.</w:t>
      </w:r>
      <w:r w:rsidR="005E7EDD">
        <w:t xml:space="preserve"> Further investigation showed </w:t>
      </w:r>
      <w:r w:rsidR="00A539B7">
        <w:t xml:space="preserve">string values containing a question mark symbol (i.e. </w:t>
      </w:r>
      <w:proofErr w:type="spellStart"/>
      <w:proofErr w:type="gramStart"/>
      <w:r w:rsidR="00A539B7">
        <w:t>str</w:t>
      </w:r>
      <w:proofErr w:type="spellEnd"/>
      <w:r w:rsidR="00A539B7">
        <w:t>(</w:t>
      </w:r>
      <w:proofErr w:type="gramEnd"/>
      <w:r w:rsidR="00A539B7">
        <w:t>‘?’) )</w:t>
      </w:r>
      <w:r w:rsidR="00E8035D">
        <w:t xml:space="preserve">. These 16 rows were dropped from the analysis, as 16 data rows accounts for approximately 2% of the total data and was thus assumed to have minute impact if dropped from the </w:t>
      </w:r>
      <w:r w:rsidR="001E0FA0">
        <w:t>analysis</w:t>
      </w:r>
      <w:r w:rsidR="00E8035D">
        <w:t xml:space="preserve">. </w:t>
      </w:r>
      <w:r w:rsidR="00DB3399">
        <w:t xml:space="preserve">Additionally, the first data feature </w:t>
      </w:r>
      <w:r w:rsidR="00DB3399">
        <w:rPr>
          <w:i/>
        </w:rPr>
        <w:t>Sample Code Number</w:t>
      </w:r>
      <w:r w:rsidR="00DB3399">
        <w:t xml:space="preserve"> was dropped from the analysis </w:t>
      </w:r>
      <w:r w:rsidR="00D8558F">
        <w:t xml:space="preserve">as the data values were unique for each row and provides no benefit for the analysis portion. </w:t>
      </w:r>
      <w:r w:rsidR="00210E12">
        <w:t xml:space="preserve">To provide additional context to reader, </w:t>
      </w:r>
      <w:r w:rsidR="00210E12">
        <w:fldChar w:fldCharType="begin"/>
      </w:r>
      <w:r w:rsidR="00210E12">
        <w:instrText xml:space="preserve"> REF _Ref529096982 \h </w:instrText>
      </w:r>
      <w:r w:rsidR="00210E12">
        <w:fldChar w:fldCharType="separate"/>
      </w:r>
      <w:r w:rsidR="00210E12">
        <w:t xml:space="preserve">Figure </w:t>
      </w:r>
      <w:r w:rsidR="00210E12">
        <w:rPr>
          <w:noProof/>
        </w:rPr>
        <w:t>1</w:t>
      </w:r>
      <w:r w:rsidR="00210E12">
        <w:fldChar w:fldCharType="end"/>
      </w:r>
      <w:r w:rsidR="00210E12">
        <w:t xml:space="preserve"> shows the relationship between the </w:t>
      </w:r>
      <w:r w:rsidR="007C592E">
        <w:t>remaining data features and breast cancer classification. Of note, the color on the Figure corresponds to the breast cancer classification (i.e. blue for benign and orange for malignant) in order to visually quantify</w:t>
      </w:r>
      <w:r w:rsidR="006572EC">
        <w:t xml:space="preserve"> trends and relationships within the parameters. </w:t>
      </w:r>
    </w:p>
    <w:p w14:paraId="60DACD60" w14:textId="77777777" w:rsidR="000469A2" w:rsidRDefault="000469A2" w:rsidP="000469A2">
      <w:pPr>
        <w:keepNext/>
      </w:pPr>
      <w:r>
        <w:rPr>
          <w:noProof/>
        </w:rPr>
        <w:lastRenderedPageBreak/>
        <w:drawing>
          <wp:inline distT="0" distB="0" distL="0" distR="0" wp14:anchorId="02FC0119" wp14:editId="76EF4C03">
            <wp:extent cx="6277436" cy="6134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_pairplot.png"/>
                    <pic:cNvPicPr/>
                  </pic:nvPicPr>
                  <pic:blipFill>
                    <a:blip r:embed="rId7"/>
                    <a:stretch>
                      <a:fillRect/>
                    </a:stretch>
                  </pic:blipFill>
                  <pic:spPr>
                    <a:xfrm>
                      <a:off x="0" y="0"/>
                      <a:ext cx="6279829" cy="6136923"/>
                    </a:xfrm>
                    <a:prstGeom prst="rect">
                      <a:avLst/>
                    </a:prstGeom>
                  </pic:spPr>
                </pic:pic>
              </a:graphicData>
            </a:graphic>
          </wp:inline>
        </w:drawing>
      </w:r>
    </w:p>
    <w:p w14:paraId="353D6631" w14:textId="786BF1ED" w:rsidR="000E7C66" w:rsidRDefault="000469A2" w:rsidP="000469A2">
      <w:pPr>
        <w:pStyle w:val="Caption"/>
        <w:jc w:val="center"/>
      </w:pPr>
      <w:bookmarkStart w:id="0" w:name="_Ref529096982"/>
      <w:r>
        <w:t xml:space="preserve">Figure </w:t>
      </w:r>
      <w:r>
        <w:fldChar w:fldCharType="begin"/>
      </w:r>
      <w:r>
        <w:instrText xml:space="preserve"> SEQ Figure \* ARABIC </w:instrText>
      </w:r>
      <w:r>
        <w:fldChar w:fldCharType="separate"/>
      </w:r>
      <w:r w:rsidR="003268B4">
        <w:rPr>
          <w:noProof/>
        </w:rPr>
        <w:t>1</w:t>
      </w:r>
      <w:r>
        <w:fldChar w:fldCharType="end"/>
      </w:r>
      <w:bookmarkEnd w:id="0"/>
      <w:r>
        <w:t>: Full comparison plot of final data matrix utilized during the analysis</w:t>
      </w:r>
      <w:r w:rsidR="00210E12">
        <w:t xml:space="preserve"> with class coloring</w:t>
      </w:r>
      <w:r>
        <w:t>.</w:t>
      </w:r>
    </w:p>
    <w:p w14:paraId="0E7881DB" w14:textId="1B84E3E9" w:rsidR="00725554" w:rsidRPr="002D5F07" w:rsidRDefault="00B1516E" w:rsidP="00725554">
      <w:r>
        <w:t xml:space="preserve">With the data mean-centered, </w:t>
      </w:r>
      <w:r>
        <w:rPr>
          <w:i/>
        </w:rPr>
        <w:t>z</w:t>
      </w:r>
      <w:r>
        <w:t xml:space="preserve">-standardized, and </w:t>
      </w:r>
      <w:r w:rsidR="00077401">
        <w:t xml:space="preserve">removed poor portions of the dataset, the remaining (683 </w:t>
      </w:r>
      <w:r w:rsidR="00077401" w:rsidRPr="00D678E4">
        <w:rPr>
          <w:i/>
        </w:rPr>
        <w:t>row</w:t>
      </w:r>
      <w:r w:rsidR="00077401">
        <w:t xml:space="preserve"> </w:t>
      </w:r>
      <w:r w:rsidR="00077401">
        <w:sym w:font="Symbol" w:char="F0B4"/>
      </w:r>
      <w:r w:rsidR="00077401" w:rsidRPr="009C36E2">
        <w:t xml:space="preserve"> 11</w:t>
      </w:r>
      <w:r w:rsidR="00077401">
        <w:t xml:space="preserve"> </w:t>
      </w:r>
      <w:r w:rsidR="00077401" w:rsidRPr="00D678E4">
        <w:rPr>
          <w:i/>
        </w:rPr>
        <w:t>column</w:t>
      </w:r>
      <w:r w:rsidR="00077401" w:rsidRPr="009C36E2">
        <w:t>)</w:t>
      </w:r>
      <w:r w:rsidR="00077401">
        <w:t xml:space="preserve"> dataset is ready for the</w:t>
      </w:r>
      <w:r w:rsidR="002D5F07">
        <w:t xml:space="preserve"> two</w:t>
      </w:r>
      <w:r w:rsidR="00077401">
        <w:t xml:space="preserve"> </w:t>
      </w:r>
      <w:r w:rsidR="002D5F07">
        <w:t xml:space="preserve">discussed analysis techniques: </w:t>
      </w:r>
      <w:r w:rsidR="002D5F07">
        <w:rPr>
          <w:i/>
        </w:rPr>
        <w:t>k</w:t>
      </w:r>
      <w:r w:rsidR="002D5F07">
        <w:t>-</w:t>
      </w:r>
      <w:r w:rsidR="00727EE0">
        <w:t xml:space="preserve">NN clustering and Decision Tree analysis. </w:t>
      </w:r>
      <w:r w:rsidR="002D5F07">
        <w:t xml:space="preserve"> </w:t>
      </w:r>
    </w:p>
    <w:p w14:paraId="7D417D92" w14:textId="00E79788" w:rsidR="00AA04F4" w:rsidRDefault="00AA04F4" w:rsidP="00AA04F4">
      <w:pPr>
        <w:pStyle w:val="Heading1"/>
      </w:pPr>
      <w:r>
        <w:t>3 Data Analysis</w:t>
      </w:r>
    </w:p>
    <w:p w14:paraId="4FACF0C8" w14:textId="57254372" w:rsidR="00B8369A" w:rsidRDefault="00A564DE" w:rsidP="00B8369A">
      <w:r>
        <w:t>This section highlights the two methods employed in this project</w:t>
      </w:r>
      <w:r w:rsidR="00357622">
        <w:t>, results, and performance metrics for the methods.</w:t>
      </w:r>
    </w:p>
    <w:p w14:paraId="20A1C179" w14:textId="44AE5D77" w:rsidR="00B8369A" w:rsidRDefault="00B8369A" w:rsidP="00B8369A">
      <w:pPr>
        <w:pStyle w:val="Heading2"/>
      </w:pPr>
      <w:r>
        <w:lastRenderedPageBreak/>
        <w:t xml:space="preserve">3.1 </w:t>
      </w:r>
      <w:r>
        <w:rPr>
          <w:i/>
        </w:rPr>
        <w:t>k</w:t>
      </w:r>
      <w:r>
        <w:t xml:space="preserve">-NN Clustering </w:t>
      </w:r>
    </w:p>
    <w:p w14:paraId="704482DB" w14:textId="2EEC3E76" w:rsidR="00B8369A" w:rsidRDefault="006E45D6" w:rsidP="00B8369A">
      <w:r>
        <w:t xml:space="preserve">The </w:t>
      </w:r>
      <w:r w:rsidR="007D66B8">
        <w:t>dataset was randomly split into four arrays (i.e. training data, training data classification, test data, and test data classification)</w:t>
      </w:r>
      <w:r w:rsidR="00342490">
        <w:t xml:space="preserve"> via created python function (</w:t>
      </w:r>
      <w:proofErr w:type="spellStart"/>
      <w:r w:rsidR="00342490">
        <w:rPr>
          <w:i/>
        </w:rPr>
        <w:t>test_split</w:t>
      </w:r>
      <w:proofErr w:type="spellEnd"/>
      <w:r w:rsidR="007B263F">
        <w:t>) with 6</w:t>
      </w:r>
      <w:r w:rsidR="00342490">
        <w:t xml:space="preserve">0% of the data in </w:t>
      </w:r>
      <w:r w:rsidR="007B263F">
        <w:t>training set and the remaining 4</w:t>
      </w:r>
      <w:r w:rsidR="00342490">
        <w:t xml:space="preserve">0% </w:t>
      </w:r>
      <w:r w:rsidR="007B263F">
        <w:t>in the test set, resulting in datasets</w:t>
      </w:r>
      <w:r w:rsidR="00D16CAC">
        <w:t xml:space="preserve"> with </w:t>
      </w:r>
      <w:r w:rsidR="00F542BB">
        <w:t xml:space="preserve">410 and 273 rows, respectively. The created </w:t>
      </w:r>
      <w:proofErr w:type="spellStart"/>
      <w:r w:rsidR="00F542BB">
        <w:rPr>
          <w:i/>
        </w:rPr>
        <w:t>getNeighbors</w:t>
      </w:r>
      <w:proofErr w:type="spellEnd"/>
      <w:r w:rsidR="00F542BB">
        <w:t xml:space="preserve"> function</w:t>
      </w:r>
      <w:r w:rsidR="00C96B7A">
        <w:t xml:space="preserve"> in python defaults to a </w:t>
      </w:r>
      <w:r w:rsidR="00C96B7A">
        <w:rPr>
          <w:i/>
        </w:rPr>
        <w:t>k</w:t>
      </w:r>
      <w:r w:rsidR="00C96B7A">
        <w:t xml:space="preserve">-value of 3 and returns the predicted </w:t>
      </w:r>
      <w:r w:rsidR="000F5FAB">
        <w:t>classification</w:t>
      </w:r>
      <w:r w:rsidR="00C96B7A">
        <w:t xml:space="preserve"> parameters based on the provided </w:t>
      </w:r>
      <w:r w:rsidR="00C96B7A">
        <w:rPr>
          <w:i/>
        </w:rPr>
        <w:t>k</w:t>
      </w:r>
      <w:r w:rsidR="00C96B7A">
        <w:rPr>
          <w:i/>
        </w:rPr>
        <w:softHyphen/>
      </w:r>
      <w:r w:rsidR="00C96B7A">
        <w:t xml:space="preserve">-value. </w:t>
      </w:r>
      <w:r w:rsidR="000F5FAB">
        <w:t>The predicted classifications</w:t>
      </w:r>
      <w:r w:rsidR="00697E70">
        <w:t xml:space="preserve"> </w:t>
      </w:r>
      <w:r w:rsidR="006D7742">
        <w:t>are compared to the correct, known classifications in the test data classification array</w:t>
      </w:r>
      <w:r w:rsidR="008856BB">
        <w:t xml:space="preserve"> via five performance metrics: </w:t>
      </w:r>
    </w:p>
    <w:p w14:paraId="2AAC2D38" w14:textId="69524659" w:rsidR="008856BB" w:rsidRDefault="008856BB" w:rsidP="008856BB">
      <w:pPr>
        <w:pStyle w:val="NormalWeb"/>
        <w:numPr>
          <w:ilvl w:val="0"/>
          <w:numId w:val="9"/>
        </w:numPr>
        <w:rPr>
          <w:rFonts w:ascii="OpenSymbol" w:hAnsi="OpenSymbol"/>
        </w:rPr>
      </w:pPr>
      <w:r>
        <w:rPr>
          <w:rFonts w:ascii="TimesNewRomanPSMT" w:hAnsi="TimesNewRomanPSMT"/>
        </w:rPr>
        <w:t>Accuracy,</w:t>
      </w:r>
    </w:p>
    <w:p w14:paraId="2A4F983C" w14:textId="1E368B62" w:rsidR="008856BB" w:rsidRDefault="008856BB" w:rsidP="008856BB">
      <w:pPr>
        <w:pStyle w:val="NormalWeb"/>
        <w:numPr>
          <w:ilvl w:val="0"/>
          <w:numId w:val="9"/>
        </w:numPr>
        <w:rPr>
          <w:rFonts w:ascii="OpenSymbol" w:hAnsi="OpenSymbol"/>
        </w:rPr>
      </w:pPr>
      <w:r>
        <w:rPr>
          <w:rFonts w:ascii="TimesNewRomanPSMT" w:hAnsi="TimesNewRomanPSMT"/>
        </w:rPr>
        <w:t>True Positive Rate,</w:t>
      </w:r>
    </w:p>
    <w:p w14:paraId="4A8FF5EF" w14:textId="1683A975" w:rsidR="008856BB" w:rsidRDefault="008856BB" w:rsidP="008856BB">
      <w:pPr>
        <w:pStyle w:val="NormalWeb"/>
        <w:numPr>
          <w:ilvl w:val="0"/>
          <w:numId w:val="9"/>
        </w:numPr>
        <w:rPr>
          <w:rFonts w:ascii="OpenSymbol" w:hAnsi="OpenSymbol"/>
        </w:rPr>
      </w:pPr>
      <w:r>
        <w:rPr>
          <w:rFonts w:ascii="TimesNewRomanPSMT" w:hAnsi="TimesNewRomanPSMT"/>
        </w:rPr>
        <w:t>Positive Predictive Value,</w:t>
      </w:r>
    </w:p>
    <w:p w14:paraId="0FDABE40" w14:textId="0540A969" w:rsidR="008856BB" w:rsidRDefault="008856BB" w:rsidP="008856BB">
      <w:pPr>
        <w:pStyle w:val="NormalWeb"/>
        <w:numPr>
          <w:ilvl w:val="0"/>
          <w:numId w:val="9"/>
        </w:numPr>
        <w:rPr>
          <w:rFonts w:ascii="OpenSymbol" w:hAnsi="OpenSymbol"/>
        </w:rPr>
      </w:pPr>
      <w:r>
        <w:rPr>
          <w:rFonts w:ascii="TimesNewRomanPSMT" w:hAnsi="TimesNewRomanPSMT"/>
        </w:rPr>
        <w:t>True Negative Rate, and</w:t>
      </w:r>
    </w:p>
    <w:p w14:paraId="38250D5C" w14:textId="3ED13B5E" w:rsidR="008856BB" w:rsidRPr="00331409" w:rsidRDefault="008856BB" w:rsidP="008856BB">
      <w:pPr>
        <w:pStyle w:val="NormalWeb"/>
        <w:numPr>
          <w:ilvl w:val="0"/>
          <w:numId w:val="9"/>
        </w:numPr>
        <w:rPr>
          <w:rFonts w:ascii="OpenSymbol" w:hAnsi="OpenSymbol"/>
        </w:rPr>
      </w:pPr>
      <w:r>
        <w:rPr>
          <w:rFonts w:ascii="TimesNewRomanPSMT" w:hAnsi="TimesNewRomanPSMT"/>
        </w:rPr>
        <w:t>F</w:t>
      </w:r>
      <w:r>
        <w:rPr>
          <w:rFonts w:ascii="TimesNewRomanPSMT" w:hAnsi="TimesNewRomanPSMT"/>
          <w:position w:val="-2"/>
          <w:sz w:val="14"/>
          <w:szCs w:val="14"/>
        </w:rPr>
        <w:t xml:space="preserve">1 </w:t>
      </w:r>
      <w:r>
        <w:rPr>
          <w:rFonts w:ascii="TimesNewRomanPSMT" w:hAnsi="TimesNewRomanPSMT"/>
        </w:rPr>
        <w:t>Score.</w:t>
      </w:r>
    </w:p>
    <w:p w14:paraId="7BDF61E8" w14:textId="6A209FF9" w:rsidR="00331409" w:rsidRDefault="002D5E10" w:rsidP="00331409">
      <w:pPr>
        <w:pStyle w:val="NormalWeb"/>
        <w:rPr>
          <w:rFonts w:ascii="TimesNewRomanPSMT" w:hAnsi="TimesNewRomanPSMT"/>
        </w:rPr>
      </w:pPr>
      <w:r>
        <w:rPr>
          <w:rFonts w:ascii="TimesNewRomanPSMT" w:hAnsi="TimesNewRomanPSMT"/>
        </w:rPr>
        <w:t xml:space="preserve">All of these performance metrics use the comparison between the predicted classification values to the test set classification array by calculating the true positive </w:t>
      </w:r>
      <w:r w:rsidR="000513E6">
        <w:rPr>
          <w:rFonts w:ascii="TimesNewRomanPSMT" w:hAnsi="TimesNewRomanPSMT"/>
        </w:rPr>
        <w:t xml:space="preserve">(TP) </w:t>
      </w:r>
      <w:r>
        <w:rPr>
          <w:rFonts w:ascii="TimesNewRomanPSMT" w:hAnsi="TimesNewRomanPSMT"/>
        </w:rPr>
        <w:t>and negative</w:t>
      </w:r>
      <w:r w:rsidR="000513E6">
        <w:rPr>
          <w:rFonts w:ascii="TimesNewRomanPSMT" w:hAnsi="TimesNewRomanPSMT"/>
        </w:rPr>
        <w:t xml:space="preserve"> (TN)</w:t>
      </w:r>
      <w:r>
        <w:rPr>
          <w:rFonts w:ascii="TimesNewRomanPSMT" w:hAnsi="TimesNewRomanPSMT"/>
        </w:rPr>
        <w:t xml:space="preserve"> ratios, as well as the false positive</w:t>
      </w:r>
      <w:r w:rsidR="000513E6">
        <w:rPr>
          <w:rFonts w:ascii="TimesNewRomanPSMT" w:hAnsi="TimesNewRomanPSMT"/>
        </w:rPr>
        <w:t xml:space="preserve"> (FP)</w:t>
      </w:r>
      <w:r>
        <w:rPr>
          <w:rFonts w:ascii="TimesNewRomanPSMT" w:hAnsi="TimesNewRomanPSMT"/>
        </w:rPr>
        <w:t xml:space="preserve"> and negative </w:t>
      </w:r>
      <w:r w:rsidR="000513E6">
        <w:rPr>
          <w:rFonts w:ascii="TimesNewRomanPSMT" w:hAnsi="TimesNewRomanPSMT"/>
        </w:rPr>
        <w:t xml:space="preserve">(FN) </w:t>
      </w:r>
      <w:r>
        <w:rPr>
          <w:rFonts w:ascii="TimesNewRomanPSMT" w:hAnsi="TimesNewRomanPSMT"/>
        </w:rPr>
        <w:t xml:space="preserve">ratios. </w:t>
      </w:r>
      <w:r w:rsidR="00D95698">
        <w:rPr>
          <w:rFonts w:ascii="TimesNewRomanPSMT" w:hAnsi="TimesNewRomanPSMT"/>
        </w:rPr>
        <w:t xml:space="preserve">Using these four parameters, </w:t>
      </w:r>
      <w:r w:rsidR="00EC64E8">
        <w:rPr>
          <w:rFonts w:ascii="TimesNewRomanPSMT" w:hAnsi="TimesNewRomanPSMT"/>
        </w:rPr>
        <w:t xml:space="preserve">the previous five performance metrics are calculated </w:t>
      </w:r>
      <w:r w:rsidR="000513E6">
        <w:rPr>
          <w:rFonts w:ascii="TimesNewRomanPSMT" w:hAnsi="TimesNewRomanPSMT"/>
        </w:rPr>
        <w:t>via the following equations:</w:t>
      </w:r>
    </w:p>
    <w:p w14:paraId="5BBDF140" w14:textId="77777777" w:rsidR="000513E6" w:rsidRPr="000513E6" w:rsidRDefault="000513E6" w:rsidP="000513E6">
      <w:pPr>
        <w:numPr>
          <w:ilvl w:val="0"/>
          <w:numId w:val="11"/>
        </w:numPr>
        <w:spacing w:before="100" w:beforeAutospacing="1" w:after="100" w:afterAutospacing="1"/>
        <w:rPr>
          <w:rFonts w:ascii="OpenSymbol" w:eastAsia="Times New Roman" w:hAnsi="OpenSymbol" w:cs="Times New Roman"/>
        </w:rPr>
      </w:pPr>
      <w:r w:rsidRPr="000513E6">
        <w:rPr>
          <w:rFonts w:ascii="TimesNewRomanPSMT" w:eastAsia="Times New Roman" w:hAnsi="TimesNewRomanPSMT" w:cs="Times New Roman"/>
        </w:rPr>
        <w:t xml:space="preserve">Accuracy = (TN + TP) / (TN + TP + FN + FP) </w:t>
      </w:r>
    </w:p>
    <w:p w14:paraId="20DD0549" w14:textId="6D959751" w:rsidR="000513E6" w:rsidRPr="000513E6" w:rsidRDefault="000513E6" w:rsidP="000513E6">
      <w:pPr>
        <w:numPr>
          <w:ilvl w:val="0"/>
          <w:numId w:val="11"/>
        </w:numPr>
        <w:spacing w:before="100" w:beforeAutospacing="1" w:after="100" w:afterAutospacing="1"/>
        <w:rPr>
          <w:rFonts w:ascii="OpenSymbol" w:eastAsia="Times New Roman" w:hAnsi="OpenSymbol" w:cs="Times New Roman"/>
        </w:rPr>
      </w:pPr>
      <w:r>
        <w:rPr>
          <w:rFonts w:ascii="TimesNewRomanPSMT" w:eastAsia="Times New Roman" w:hAnsi="TimesNewRomanPSMT" w:cs="Times New Roman"/>
        </w:rPr>
        <w:t xml:space="preserve">TPR </w:t>
      </w:r>
      <w:r w:rsidRPr="000513E6">
        <w:rPr>
          <w:rFonts w:ascii="TimesNewRomanPSMT" w:eastAsia="Times New Roman" w:hAnsi="TimesNewRomanPSMT" w:cs="Times New Roman"/>
        </w:rPr>
        <w:t xml:space="preserve">= TP / (TP + FN) </w:t>
      </w:r>
    </w:p>
    <w:p w14:paraId="5A207D9C" w14:textId="7E8DBB8B" w:rsidR="000513E6" w:rsidRPr="000513E6" w:rsidRDefault="000513E6" w:rsidP="000513E6">
      <w:pPr>
        <w:numPr>
          <w:ilvl w:val="0"/>
          <w:numId w:val="11"/>
        </w:numPr>
        <w:spacing w:before="100" w:beforeAutospacing="1" w:after="100" w:afterAutospacing="1"/>
        <w:rPr>
          <w:rFonts w:ascii="OpenSymbol" w:eastAsia="Times New Roman" w:hAnsi="OpenSymbol" w:cs="Times New Roman"/>
        </w:rPr>
      </w:pPr>
      <w:r w:rsidRPr="000513E6">
        <w:rPr>
          <w:rFonts w:ascii="TimesNewRomanPSMT" w:eastAsia="Times New Roman" w:hAnsi="TimesNewRomanPSMT" w:cs="Times New Roman"/>
        </w:rPr>
        <w:t xml:space="preserve">PPV = TP / (TP + FP) </w:t>
      </w:r>
    </w:p>
    <w:p w14:paraId="2B7FBD70" w14:textId="5FF87CBC" w:rsidR="000513E6" w:rsidRPr="000513E6" w:rsidRDefault="000513E6" w:rsidP="000513E6">
      <w:pPr>
        <w:numPr>
          <w:ilvl w:val="0"/>
          <w:numId w:val="11"/>
        </w:numPr>
        <w:spacing w:before="100" w:beforeAutospacing="1" w:after="100" w:afterAutospacing="1"/>
        <w:rPr>
          <w:rFonts w:ascii="OpenSymbol" w:eastAsia="Times New Roman" w:hAnsi="OpenSymbol" w:cs="Times New Roman"/>
        </w:rPr>
      </w:pPr>
      <w:r>
        <w:rPr>
          <w:rFonts w:ascii="TimesNewRomanPSMT" w:eastAsia="Times New Roman" w:hAnsi="TimesNewRomanPSMT" w:cs="Times New Roman"/>
        </w:rPr>
        <w:t>TNR</w:t>
      </w:r>
      <w:r w:rsidRPr="000513E6">
        <w:rPr>
          <w:rFonts w:ascii="TimesNewRomanPSMT" w:eastAsia="Times New Roman" w:hAnsi="TimesNewRomanPSMT" w:cs="Times New Roman"/>
        </w:rPr>
        <w:t xml:space="preserve">= TN / (TN + FP) </w:t>
      </w:r>
    </w:p>
    <w:p w14:paraId="5E933D83" w14:textId="77777777" w:rsidR="000513E6" w:rsidRPr="000513E6" w:rsidRDefault="000513E6" w:rsidP="000513E6">
      <w:pPr>
        <w:numPr>
          <w:ilvl w:val="0"/>
          <w:numId w:val="11"/>
        </w:numPr>
        <w:spacing w:before="100" w:beforeAutospacing="1" w:after="100" w:afterAutospacing="1"/>
        <w:rPr>
          <w:rFonts w:ascii="OpenSymbol" w:eastAsia="Times New Roman" w:hAnsi="OpenSymbol" w:cs="Times New Roman"/>
        </w:rPr>
      </w:pPr>
      <w:r w:rsidRPr="000513E6">
        <w:rPr>
          <w:rFonts w:ascii="TimesNewRomanPSMT" w:eastAsia="Times New Roman" w:hAnsi="TimesNewRomanPSMT" w:cs="Times New Roman"/>
        </w:rPr>
        <w:t>F</w:t>
      </w:r>
      <w:r w:rsidRPr="000513E6">
        <w:rPr>
          <w:rFonts w:ascii="TimesNewRomanPSMT" w:eastAsia="Times New Roman" w:hAnsi="TimesNewRomanPSMT" w:cs="Times New Roman"/>
          <w:position w:val="-2"/>
          <w:sz w:val="14"/>
          <w:szCs w:val="14"/>
        </w:rPr>
        <w:t xml:space="preserve">1 </w:t>
      </w:r>
      <w:r w:rsidRPr="000513E6">
        <w:rPr>
          <w:rFonts w:ascii="TimesNewRomanPSMT" w:eastAsia="Times New Roman" w:hAnsi="TimesNewRomanPSMT" w:cs="Times New Roman"/>
        </w:rPr>
        <w:t xml:space="preserve">Score = 2 </w:t>
      </w:r>
      <w:r w:rsidRPr="000513E6">
        <w:rPr>
          <w:rFonts w:ascii="Symbol" w:eastAsia="Times New Roman" w:hAnsi="Symbol" w:cs="Times New Roman"/>
        </w:rPr>
        <w:t></w:t>
      </w:r>
      <w:r w:rsidRPr="000513E6">
        <w:rPr>
          <w:rFonts w:ascii="Symbol" w:eastAsia="Times New Roman" w:hAnsi="Symbol" w:cs="Times New Roman"/>
        </w:rPr>
        <w:t></w:t>
      </w:r>
      <w:r w:rsidRPr="000513E6">
        <w:rPr>
          <w:rFonts w:ascii="TimesNewRomanPSMT" w:eastAsia="Times New Roman" w:hAnsi="TimesNewRomanPSMT" w:cs="Times New Roman"/>
        </w:rPr>
        <w:t xml:space="preserve">PPV </w:t>
      </w:r>
      <w:r w:rsidRPr="000513E6">
        <w:rPr>
          <w:rFonts w:ascii="Symbol" w:eastAsia="Times New Roman" w:hAnsi="Symbol" w:cs="Times New Roman"/>
        </w:rPr>
        <w:t></w:t>
      </w:r>
      <w:r w:rsidRPr="000513E6">
        <w:rPr>
          <w:rFonts w:ascii="Symbol" w:eastAsia="Times New Roman" w:hAnsi="Symbol" w:cs="Times New Roman"/>
        </w:rPr>
        <w:t></w:t>
      </w:r>
      <w:r w:rsidRPr="000513E6">
        <w:rPr>
          <w:rFonts w:ascii="TimesNewRomanPSMT" w:eastAsia="Times New Roman" w:hAnsi="TimesNewRomanPSMT" w:cs="Times New Roman"/>
        </w:rPr>
        <w:t xml:space="preserve">TPR / (PPV + TPR) </w:t>
      </w:r>
    </w:p>
    <w:p w14:paraId="408CED07" w14:textId="1F6ED4A9" w:rsidR="000513E6" w:rsidRDefault="000513E6" w:rsidP="00331409">
      <w:pPr>
        <w:pStyle w:val="NormalWeb"/>
        <w:rPr>
          <w:rFonts w:ascii="OpenSymbol" w:hAnsi="OpenSymbol"/>
        </w:rPr>
      </w:pPr>
      <w:r>
        <w:rPr>
          <w:rFonts w:ascii="OpenSymbol" w:hAnsi="OpenSymbol"/>
        </w:rPr>
        <w:t>Lastly, another performance metric is created to compare the four-prediction rate calculated, referred to as a confusion matrix. For a</w:t>
      </w:r>
      <w:r w:rsidR="00D5665C">
        <w:rPr>
          <w:rFonts w:ascii="OpenSymbol" w:hAnsi="OpenSymbol"/>
        </w:rPr>
        <w:t xml:space="preserve"> two-class problem, such as the dataset for this project, the confusion matrix shows the relationship between the four-prediction rates as shown in the </w:t>
      </w:r>
      <w:r w:rsidR="001C24CC">
        <w:rPr>
          <w:rFonts w:ascii="OpenSymbol" w:hAnsi="OpenSymbol"/>
        </w:rPr>
        <w:fldChar w:fldCharType="begin"/>
      </w:r>
      <w:r w:rsidR="001C24CC">
        <w:rPr>
          <w:rFonts w:ascii="OpenSymbol" w:hAnsi="OpenSymbol"/>
        </w:rPr>
        <w:instrText xml:space="preserve"> REF _Ref529102803 \h </w:instrText>
      </w:r>
      <w:r w:rsidR="001C24CC">
        <w:rPr>
          <w:rFonts w:ascii="OpenSymbol" w:hAnsi="OpenSymbol"/>
        </w:rPr>
      </w:r>
      <w:r w:rsidR="001C24CC">
        <w:rPr>
          <w:rFonts w:ascii="OpenSymbol" w:hAnsi="OpenSymbol"/>
        </w:rPr>
        <w:fldChar w:fldCharType="separate"/>
      </w:r>
      <w:r w:rsidR="001C24CC">
        <w:t xml:space="preserve">Table </w:t>
      </w:r>
      <w:r w:rsidR="001C24CC">
        <w:rPr>
          <w:noProof/>
        </w:rPr>
        <w:t>1</w:t>
      </w:r>
      <w:r w:rsidR="001C24CC">
        <w:rPr>
          <w:rFonts w:ascii="OpenSymbol" w:hAnsi="OpenSymbol"/>
        </w:rPr>
        <w:fldChar w:fldCharType="end"/>
      </w:r>
      <w:r w:rsidR="00D5665C">
        <w:rPr>
          <w:rFonts w:ascii="OpenSymbol" w:hAnsi="OpenSymbol"/>
        </w:rPr>
        <w:t>.</w:t>
      </w:r>
    </w:p>
    <w:p w14:paraId="77E3BE8F" w14:textId="179BF7A9" w:rsidR="00D5665C" w:rsidRDefault="00D5665C" w:rsidP="00D5665C">
      <w:pPr>
        <w:pStyle w:val="Caption"/>
        <w:keepNext/>
        <w:jc w:val="center"/>
      </w:pPr>
      <w:bookmarkStart w:id="1" w:name="_Ref529102803"/>
      <w:r>
        <w:t xml:space="preserve">Table </w:t>
      </w:r>
      <w:r>
        <w:fldChar w:fldCharType="begin"/>
      </w:r>
      <w:r>
        <w:instrText xml:space="preserve"> SEQ Table \* ARABIC </w:instrText>
      </w:r>
      <w:r>
        <w:fldChar w:fldCharType="separate"/>
      </w:r>
      <w:r w:rsidR="008E488E">
        <w:rPr>
          <w:noProof/>
        </w:rPr>
        <w:t>1</w:t>
      </w:r>
      <w:r>
        <w:fldChar w:fldCharType="end"/>
      </w:r>
      <w:bookmarkEnd w:id="1"/>
      <w:r>
        <w:t>: Example confusio</w:t>
      </w:r>
      <w:r w:rsidR="006D0EA0">
        <w:t>n matrix for two-class problem.</w:t>
      </w:r>
    </w:p>
    <w:tbl>
      <w:tblPr>
        <w:tblStyle w:val="TableGrid"/>
        <w:tblW w:w="0" w:type="auto"/>
        <w:jc w:val="center"/>
        <w:tblLayout w:type="fixed"/>
        <w:tblLook w:val="04A0" w:firstRow="1" w:lastRow="0" w:firstColumn="1" w:lastColumn="0" w:noHBand="0" w:noVBand="1"/>
      </w:tblPr>
      <w:tblGrid>
        <w:gridCol w:w="1571"/>
        <w:gridCol w:w="1056"/>
        <w:gridCol w:w="1061"/>
      </w:tblGrid>
      <w:tr w:rsidR="00D5665C" w14:paraId="60F1E31E" w14:textId="77777777" w:rsidTr="00D5665C">
        <w:trPr>
          <w:jc w:val="center"/>
        </w:trPr>
        <w:tc>
          <w:tcPr>
            <w:tcW w:w="1571" w:type="dxa"/>
            <w:tcBorders>
              <w:top w:val="nil"/>
              <w:left w:val="nil"/>
            </w:tcBorders>
          </w:tcPr>
          <w:p w14:paraId="0480F982" w14:textId="77777777" w:rsidR="00D5665C" w:rsidRDefault="00D5665C" w:rsidP="00331409">
            <w:pPr>
              <w:pStyle w:val="NormalWeb"/>
              <w:rPr>
                <w:rFonts w:ascii="OpenSymbol" w:hAnsi="OpenSymbol"/>
              </w:rPr>
            </w:pPr>
          </w:p>
        </w:tc>
        <w:tc>
          <w:tcPr>
            <w:tcW w:w="2117" w:type="dxa"/>
            <w:gridSpan w:val="2"/>
          </w:tcPr>
          <w:p w14:paraId="438BB029" w14:textId="25395DCB" w:rsidR="00D5665C" w:rsidRPr="00D5665C" w:rsidRDefault="00D5665C" w:rsidP="00D5665C">
            <w:pPr>
              <w:pStyle w:val="NormalWeb"/>
              <w:jc w:val="center"/>
              <w:rPr>
                <w:rFonts w:ascii="OpenSymbol" w:hAnsi="OpenSymbol"/>
                <w:b/>
              </w:rPr>
            </w:pPr>
            <w:r w:rsidRPr="00D5665C">
              <w:rPr>
                <w:rFonts w:ascii="OpenSymbol" w:hAnsi="OpenSymbol"/>
                <w:b/>
              </w:rPr>
              <w:t>Predicted Values</w:t>
            </w:r>
          </w:p>
        </w:tc>
      </w:tr>
      <w:tr w:rsidR="00D5665C" w14:paraId="6F0373FC" w14:textId="77777777" w:rsidTr="00D034DB">
        <w:trPr>
          <w:jc w:val="center"/>
        </w:trPr>
        <w:tc>
          <w:tcPr>
            <w:tcW w:w="1571" w:type="dxa"/>
          </w:tcPr>
          <w:p w14:paraId="3AA2E804" w14:textId="520043D5" w:rsidR="00D5665C" w:rsidRPr="00D5665C" w:rsidRDefault="00D5665C" w:rsidP="00D5665C">
            <w:pPr>
              <w:pStyle w:val="NormalWeb"/>
              <w:jc w:val="right"/>
              <w:rPr>
                <w:rFonts w:ascii="OpenSymbol" w:hAnsi="OpenSymbol"/>
                <w:b/>
              </w:rPr>
            </w:pPr>
            <w:r w:rsidRPr="00D5665C">
              <w:rPr>
                <w:rFonts w:ascii="OpenSymbol" w:hAnsi="OpenSymbol"/>
                <w:b/>
              </w:rPr>
              <w:t>True Values</w:t>
            </w:r>
          </w:p>
        </w:tc>
        <w:tc>
          <w:tcPr>
            <w:tcW w:w="1056" w:type="dxa"/>
            <w:tcBorders>
              <w:bottom w:val="double" w:sz="4" w:space="0" w:color="auto"/>
            </w:tcBorders>
          </w:tcPr>
          <w:p w14:paraId="16ABAD6F" w14:textId="614CDB18" w:rsidR="00D5665C" w:rsidRDefault="00D5665C" w:rsidP="00D5665C">
            <w:pPr>
              <w:pStyle w:val="NormalWeb"/>
              <w:jc w:val="center"/>
              <w:rPr>
                <w:rFonts w:ascii="OpenSymbol" w:hAnsi="OpenSymbol"/>
              </w:rPr>
            </w:pPr>
            <w:r>
              <w:rPr>
                <w:rFonts w:ascii="OpenSymbol" w:hAnsi="OpenSymbol"/>
              </w:rPr>
              <w:t>Class 1</w:t>
            </w:r>
          </w:p>
        </w:tc>
        <w:tc>
          <w:tcPr>
            <w:tcW w:w="1061" w:type="dxa"/>
            <w:tcBorders>
              <w:bottom w:val="double" w:sz="4" w:space="0" w:color="auto"/>
            </w:tcBorders>
          </w:tcPr>
          <w:p w14:paraId="532935D8" w14:textId="7833B134" w:rsidR="00D5665C" w:rsidRDefault="00D5665C" w:rsidP="00D5665C">
            <w:pPr>
              <w:pStyle w:val="NormalWeb"/>
              <w:jc w:val="center"/>
              <w:rPr>
                <w:rFonts w:ascii="OpenSymbol" w:hAnsi="OpenSymbol"/>
              </w:rPr>
            </w:pPr>
            <w:r>
              <w:rPr>
                <w:rFonts w:ascii="OpenSymbol" w:hAnsi="OpenSymbol"/>
              </w:rPr>
              <w:t>Class 2</w:t>
            </w:r>
          </w:p>
        </w:tc>
      </w:tr>
      <w:tr w:rsidR="00D5665C" w14:paraId="7906AFC1" w14:textId="77777777" w:rsidTr="00D034DB">
        <w:trPr>
          <w:jc w:val="center"/>
        </w:trPr>
        <w:tc>
          <w:tcPr>
            <w:tcW w:w="1571" w:type="dxa"/>
            <w:tcBorders>
              <w:right w:val="double" w:sz="4" w:space="0" w:color="auto"/>
            </w:tcBorders>
          </w:tcPr>
          <w:p w14:paraId="7285868D" w14:textId="3CE072AC" w:rsidR="00D5665C" w:rsidRDefault="00D5665C" w:rsidP="00D5665C">
            <w:pPr>
              <w:pStyle w:val="NormalWeb"/>
              <w:jc w:val="right"/>
              <w:rPr>
                <w:rFonts w:ascii="OpenSymbol" w:hAnsi="OpenSymbol"/>
              </w:rPr>
            </w:pPr>
            <w:r>
              <w:rPr>
                <w:rFonts w:ascii="OpenSymbol" w:hAnsi="OpenSymbol"/>
              </w:rPr>
              <w:t>Class 1</w:t>
            </w:r>
          </w:p>
        </w:tc>
        <w:tc>
          <w:tcPr>
            <w:tcW w:w="1056" w:type="dxa"/>
            <w:tcBorders>
              <w:top w:val="double" w:sz="4" w:space="0" w:color="auto"/>
              <w:left w:val="double" w:sz="4" w:space="0" w:color="auto"/>
            </w:tcBorders>
          </w:tcPr>
          <w:p w14:paraId="0787C0BE" w14:textId="32F442FB" w:rsidR="00D5665C" w:rsidRDefault="00D5665C" w:rsidP="00D5665C">
            <w:pPr>
              <w:pStyle w:val="NormalWeb"/>
              <w:jc w:val="center"/>
              <w:rPr>
                <w:rFonts w:ascii="OpenSymbol" w:hAnsi="OpenSymbol"/>
              </w:rPr>
            </w:pPr>
            <w:r>
              <w:rPr>
                <w:rFonts w:ascii="OpenSymbol" w:hAnsi="OpenSymbol"/>
              </w:rPr>
              <w:t>TN</w:t>
            </w:r>
          </w:p>
        </w:tc>
        <w:tc>
          <w:tcPr>
            <w:tcW w:w="1061" w:type="dxa"/>
            <w:tcBorders>
              <w:top w:val="double" w:sz="4" w:space="0" w:color="auto"/>
            </w:tcBorders>
          </w:tcPr>
          <w:p w14:paraId="7DF9F3B0" w14:textId="18A18ECD" w:rsidR="00D5665C" w:rsidRDefault="00D5665C" w:rsidP="00D5665C">
            <w:pPr>
              <w:pStyle w:val="NormalWeb"/>
              <w:jc w:val="center"/>
              <w:rPr>
                <w:rFonts w:ascii="OpenSymbol" w:hAnsi="OpenSymbol"/>
              </w:rPr>
            </w:pPr>
            <w:r>
              <w:rPr>
                <w:rFonts w:ascii="OpenSymbol" w:hAnsi="OpenSymbol"/>
              </w:rPr>
              <w:t>FP</w:t>
            </w:r>
          </w:p>
        </w:tc>
      </w:tr>
      <w:tr w:rsidR="00D5665C" w14:paraId="61A208D1" w14:textId="77777777" w:rsidTr="00D034DB">
        <w:trPr>
          <w:jc w:val="center"/>
        </w:trPr>
        <w:tc>
          <w:tcPr>
            <w:tcW w:w="1571" w:type="dxa"/>
            <w:tcBorders>
              <w:right w:val="double" w:sz="4" w:space="0" w:color="auto"/>
            </w:tcBorders>
          </w:tcPr>
          <w:p w14:paraId="10917308" w14:textId="2EB61FF1" w:rsidR="00D5665C" w:rsidRDefault="00D5665C" w:rsidP="00D5665C">
            <w:pPr>
              <w:pStyle w:val="NormalWeb"/>
              <w:jc w:val="right"/>
              <w:rPr>
                <w:rFonts w:ascii="OpenSymbol" w:hAnsi="OpenSymbol"/>
              </w:rPr>
            </w:pPr>
            <w:r>
              <w:rPr>
                <w:rFonts w:ascii="OpenSymbol" w:hAnsi="OpenSymbol"/>
              </w:rPr>
              <w:t>Class 2</w:t>
            </w:r>
          </w:p>
        </w:tc>
        <w:tc>
          <w:tcPr>
            <w:tcW w:w="1056" w:type="dxa"/>
            <w:tcBorders>
              <w:left w:val="double" w:sz="4" w:space="0" w:color="auto"/>
            </w:tcBorders>
          </w:tcPr>
          <w:p w14:paraId="36F6AD62" w14:textId="042722C0" w:rsidR="00D5665C" w:rsidRDefault="00D5665C" w:rsidP="00D5665C">
            <w:pPr>
              <w:pStyle w:val="NormalWeb"/>
              <w:jc w:val="center"/>
              <w:rPr>
                <w:rFonts w:ascii="OpenSymbol" w:hAnsi="OpenSymbol"/>
              </w:rPr>
            </w:pPr>
            <w:r>
              <w:rPr>
                <w:rFonts w:ascii="OpenSymbol" w:hAnsi="OpenSymbol"/>
              </w:rPr>
              <w:t>FN</w:t>
            </w:r>
          </w:p>
        </w:tc>
        <w:tc>
          <w:tcPr>
            <w:tcW w:w="1061" w:type="dxa"/>
          </w:tcPr>
          <w:p w14:paraId="30665A46" w14:textId="7EA9695B" w:rsidR="00D5665C" w:rsidRDefault="00D5665C" w:rsidP="00D5665C">
            <w:pPr>
              <w:pStyle w:val="NormalWeb"/>
              <w:jc w:val="center"/>
              <w:rPr>
                <w:rFonts w:ascii="OpenSymbol" w:hAnsi="OpenSymbol"/>
              </w:rPr>
            </w:pPr>
            <w:r>
              <w:rPr>
                <w:rFonts w:ascii="OpenSymbol" w:hAnsi="OpenSymbol"/>
              </w:rPr>
              <w:t>TP</w:t>
            </w:r>
          </w:p>
        </w:tc>
      </w:tr>
    </w:tbl>
    <w:p w14:paraId="0CA7570E" w14:textId="5641281C" w:rsidR="00EB39C0" w:rsidRDefault="00C0367E" w:rsidP="00EB39C0">
      <w:pPr>
        <w:pStyle w:val="NormalWeb"/>
        <w:rPr>
          <w:rFonts w:ascii="OpenSymbol" w:hAnsi="OpenSymbol"/>
        </w:rPr>
      </w:pPr>
      <w:r>
        <w:rPr>
          <w:rFonts w:ascii="OpenSymbol" w:hAnsi="OpenSymbol"/>
        </w:rPr>
        <w:t xml:space="preserve">The </w:t>
      </w:r>
      <w:proofErr w:type="gramStart"/>
      <w:r>
        <w:rPr>
          <w:rFonts w:ascii="OpenSymbol" w:hAnsi="OpenSymbol"/>
        </w:rPr>
        <w:t>five performance</w:t>
      </w:r>
      <w:proofErr w:type="gramEnd"/>
      <w:r>
        <w:rPr>
          <w:rFonts w:ascii="OpenSymbol" w:hAnsi="OpenSymbol"/>
        </w:rPr>
        <w:t xml:space="preserve"> metrics and the confusion matrix are created via two created python functions, </w:t>
      </w:r>
      <w:proofErr w:type="spellStart"/>
      <w:r>
        <w:rPr>
          <w:rFonts w:ascii="OpenSymbol" w:hAnsi="OpenSymbol"/>
          <w:i/>
        </w:rPr>
        <w:t>getMetrics</w:t>
      </w:r>
      <w:proofErr w:type="spellEnd"/>
      <w:r>
        <w:rPr>
          <w:rFonts w:ascii="OpenSymbol" w:hAnsi="OpenSymbol"/>
          <w:i/>
        </w:rPr>
        <w:t xml:space="preserve"> </w:t>
      </w:r>
      <w:r>
        <w:rPr>
          <w:rFonts w:ascii="OpenSymbol" w:hAnsi="OpenSymbol"/>
        </w:rPr>
        <w:t xml:space="preserve">and </w:t>
      </w:r>
      <w:proofErr w:type="spellStart"/>
      <w:r>
        <w:rPr>
          <w:rFonts w:ascii="OpenSymbol" w:hAnsi="OpenSymbol"/>
          <w:i/>
        </w:rPr>
        <w:t>confusion_matrix</w:t>
      </w:r>
      <w:proofErr w:type="spellEnd"/>
      <w:r>
        <w:rPr>
          <w:rFonts w:ascii="OpenSymbol" w:hAnsi="OpenSymbol"/>
        </w:rPr>
        <w:t xml:space="preserve">. Using a 60%-40% training-test split and the default </w:t>
      </w:r>
      <w:r>
        <w:rPr>
          <w:rFonts w:ascii="OpenSymbol" w:hAnsi="OpenSymbol"/>
          <w:i/>
        </w:rPr>
        <w:t>k</w:t>
      </w:r>
      <w:r>
        <w:rPr>
          <w:rFonts w:ascii="OpenSymbol" w:hAnsi="OpenSymbol"/>
        </w:rPr>
        <w:t xml:space="preserve">=3 value with the </w:t>
      </w:r>
      <w:proofErr w:type="spellStart"/>
      <w:r>
        <w:rPr>
          <w:rFonts w:ascii="OpenSymbol" w:hAnsi="OpenSymbol"/>
          <w:i/>
        </w:rPr>
        <w:t>getNeighbors</w:t>
      </w:r>
      <w:proofErr w:type="spellEnd"/>
      <w:r>
        <w:rPr>
          <w:rFonts w:ascii="OpenSymbol" w:hAnsi="OpenSymbol"/>
        </w:rPr>
        <w:t xml:space="preserve"> function, the two performance metric functions discussed return the following values.</w:t>
      </w:r>
    </w:p>
    <w:p w14:paraId="1CACAA31" w14:textId="77777777" w:rsidR="00A12C3B" w:rsidRDefault="00A12C3B" w:rsidP="00EB39C0">
      <w:pPr>
        <w:pStyle w:val="NormalWeb"/>
        <w:rPr>
          <w:rFonts w:ascii="OpenSymbol" w:hAnsi="OpenSymbol"/>
        </w:rPr>
      </w:pPr>
    </w:p>
    <w:p w14:paraId="2BE433AE" w14:textId="7D134A01" w:rsidR="00A12C3B" w:rsidRDefault="00A12C3B" w:rsidP="00A12C3B">
      <w:pPr>
        <w:pStyle w:val="Caption"/>
        <w:keepNext/>
        <w:jc w:val="center"/>
      </w:pPr>
      <w:r>
        <w:lastRenderedPageBreak/>
        <w:t xml:space="preserve">Table </w:t>
      </w:r>
      <w:r>
        <w:fldChar w:fldCharType="begin"/>
      </w:r>
      <w:r>
        <w:instrText xml:space="preserve"> SEQ Table \* ARABIC </w:instrText>
      </w:r>
      <w:r>
        <w:fldChar w:fldCharType="separate"/>
      </w:r>
      <w:r w:rsidR="008E488E">
        <w:rPr>
          <w:noProof/>
        </w:rPr>
        <w:t>2</w:t>
      </w:r>
      <w:r>
        <w:fldChar w:fldCharType="end"/>
      </w:r>
      <w:r>
        <w:t>: Five performance metrics</w:t>
      </w:r>
      <w:r w:rsidR="001612FD">
        <w:t xml:space="preserve"> </w:t>
      </w:r>
      <w:r w:rsidR="0003099F">
        <w:t>for 60%-40% random split using three nearest neighbors</w:t>
      </w:r>
      <w:r w:rsidR="001612FD">
        <w:t>.</w:t>
      </w:r>
    </w:p>
    <w:tbl>
      <w:tblPr>
        <w:tblW w:w="2675" w:type="dxa"/>
        <w:jc w:val="center"/>
        <w:tblLook w:val="04A0" w:firstRow="1" w:lastRow="0" w:firstColumn="1" w:lastColumn="0" w:noHBand="0" w:noVBand="1"/>
      </w:tblPr>
      <w:tblGrid>
        <w:gridCol w:w="1355"/>
        <w:gridCol w:w="1320"/>
      </w:tblGrid>
      <w:tr w:rsidR="00A12C3B" w:rsidRPr="00A12C3B" w14:paraId="5BF2900C" w14:textId="77777777" w:rsidTr="00C01A10">
        <w:trPr>
          <w:trHeight w:val="340"/>
          <w:jc w:val="center"/>
        </w:trPr>
        <w:tc>
          <w:tcPr>
            <w:tcW w:w="2675" w:type="dxa"/>
            <w:gridSpan w:val="2"/>
            <w:tcBorders>
              <w:top w:val="single" w:sz="4" w:space="0" w:color="auto"/>
              <w:left w:val="single" w:sz="4" w:space="0" w:color="auto"/>
              <w:bottom w:val="double" w:sz="6" w:space="0" w:color="auto"/>
              <w:right w:val="single" w:sz="4" w:space="0" w:color="auto"/>
            </w:tcBorders>
            <w:shd w:val="clear" w:color="auto" w:fill="auto"/>
            <w:noWrap/>
            <w:vAlign w:val="center"/>
            <w:hideMark/>
          </w:tcPr>
          <w:p w14:paraId="771E2EB3" w14:textId="77777777" w:rsidR="00A12C3B" w:rsidRPr="00A12C3B" w:rsidRDefault="00A12C3B" w:rsidP="00A12C3B">
            <w:pPr>
              <w:spacing w:after="0"/>
              <w:jc w:val="center"/>
              <w:rPr>
                <w:rFonts w:eastAsia="Times New Roman" w:cs="Calibri"/>
                <w:b/>
                <w:bCs/>
                <w:color w:val="000000"/>
              </w:rPr>
            </w:pPr>
            <w:r w:rsidRPr="00A12C3B">
              <w:rPr>
                <w:rFonts w:eastAsia="Times New Roman" w:cs="Calibri"/>
                <w:b/>
                <w:bCs/>
                <w:color w:val="000000"/>
              </w:rPr>
              <w:t>Performance Metrics</w:t>
            </w:r>
          </w:p>
        </w:tc>
      </w:tr>
      <w:tr w:rsidR="00A12C3B" w:rsidRPr="00A12C3B" w14:paraId="056E57FD" w14:textId="77777777" w:rsidTr="00C01A10">
        <w:trPr>
          <w:trHeight w:val="340"/>
          <w:jc w:val="center"/>
        </w:trPr>
        <w:tc>
          <w:tcPr>
            <w:tcW w:w="1355" w:type="dxa"/>
            <w:tcBorders>
              <w:top w:val="nil"/>
              <w:left w:val="single" w:sz="4" w:space="0" w:color="auto"/>
              <w:bottom w:val="single" w:sz="4" w:space="0" w:color="auto"/>
              <w:right w:val="single" w:sz="4" w:space="0" w:color="auto"/>
            </w:tcBorders>
            <w:shd w:val="clear" w:color="auto" w:fill="auto"/>
            <w:noWrap/>
            <w:vAlign w:val="center"/>
            <w:hideMark/>
          </w:tcPr>
          <w:p w14:paraId="038D027E" w14:textId="77777777" w:rsidR="00A12C3B" w:rsidRPr="00A12C3B" w:rsidRDefault="00A12C3B" w:rsidP="00A12C3B">
            <w:pPr>
              <w:spacing w:after="0"/>
              <w:rPr>
                <w:rFonts w:eastAsia="Times New Roman" w:cs="Calibri"/>
                <w:i/>
                <w:iCs/>
                <w:color w:val="000000"/>
              </w:rPr>
            </w:pPr>
            <w:r w:rsidRPr="00A12C3B">
              <w:rPr>
                <w:rFonts w:eastAsia="Times New Roman" w:cs="Calibri"/>
                <w:i/>
                <w:iCs/>
                <w:color w:val="000000"/>
              </w:rPr>
              <w:t>Accuracy</w:t>
            </w:r>
          </w:p>
        </w:tc>
        <w:tc>
          <w:tcPr>
            <w:tcW w:w="1320" w:type="dxa"/>
            <w:tcBorders>
              <w:top w:val="nil"/>
              <w:left w:val="nil"/>
              <w:bottom w:val="single" w:sz="4" w:space="0" w:color="auto"/>
              <w:right w:val="single" w:sz="4" w:space="0" w:color="auto"/>
            </w:tcBorders>
            <w:shd w:val="clear" w:color="auto" w:fill="auto"/>
            <w:noWrap/>
            <w:vAlign w:val="center"/>
            <w:hideMark/>
          </w:tcPr>
          <w:p w14:paraId="53A53EFD" w14:textId="77777777" w:rsidR="00A12C3B" w:rsidRPr="00A12C3B" w:rsidRDefault="00A12C3B" w:rsidP="00A12C3B">
            <w:pPr>
              <w:spacing w:after="0"/>
              <w:jc w:val="right"/>
              <w:rPr>
                <w:rFonts w:eastAsia="Times New Roman" w:cs="Calibri"/>
                <w:color w:val="000000"/>
              </w:rPr>
            </w:pPr>
            <w:r w:rsidRPr="00A12C3B">
              <w:rPr>
                <w:rFonts w:eastAsia="Times New Roman" w:cs="Calibri"/>
                <w:color w:val="000000"/>
              </w:rPr>
              <w:t>0.9677</w:t>
            </w:r>
          </w:p>
        </w:tc>
      </w:tr>
      <w:tr w:rsidR="00A12C3B" w:rsidRPr="00A12C3B" w14:paraId="56D632F3" w14:textId="77777777" w:rsidTr="00C01A10">
        <w:trPr>
          <w:trHeight w:val="320"/>
          <w:jc w:val="center"/>
        </w:trPr>
        <w:tc>
          <w:tcPr>
            <w:tcW w:w="1355" w:type="dxa"/>
            <w:tcBorders>
              <w:top w:val="nil"/>
              <w:left w:val="single" w:sz="4" w:space="0" w:color="auto"/>
              <w:bottom w:val="single" w:sz="4" w:space="0" w:color="auto"/>
              <w:right w:val="single" w:sz="4" w:space="0" w:color="auto"/>
            </w:tcBorders>
            <w:shd w:val="clear" w:color="auto" w:fill="auto"/>
            <w:noWrap/>
            <w:vAlign w:val="center"/>
            <w:hideMark/>
          </w:tcPr>
          <w:p w14:paraId="753243D9" w14:textId="77777777" w:rsidR="00A12C3B" w:rsidRPr="00A12C3B" w:rsidRDefault="00A12C3B" w:rsidP="00A12C3B">
            <w:pPr>
              <w:spacing w:after="0"/>
              <w:rPr>
                <w:rFonts w:eastAsia="Times New Roman" w:cs="Calibri"/>
                <w:i/>
                <w:iCs/>
                <w:color w:val="000000"/>
              </w:rPr>
            </w:pPr>
            <w:r w:rsidRPr="00A12C3B">
              <w:rPr>
                <w:rFonts w:eastAsia="Times New Roman" w:cs="Calibri"/>
                <w:i/>
                <w:iCs/>
                <w:color w:val="000000"/>
              </w:rPr>
              <w:t>TPR</w:t>
            </w:r>
          </w:p>
        </w:tc>
        <w:tc>
          <w:tcPr>
            <w:tcW w:w="1320" w:type="dxa"/>
            <w:tcBorders>
              <w:top w:val="nil"/>
              <w:left w:val="nil"/>
              <w:bottom w:val="single" w:sz="4" w:space="0" w:color="auto"/>
              <w:right w:val="single" w:sz="4" w:space="0" w:color="auto"/>
            </w:tcBorders>
            <w:shd w:val="clear" w:color="auto" w:fill="auto"/>
            <w:noWrap/>
            <w:vAlign w:val="center"/>
            <w:hideMark/>
          </w:tcPr>
          <w:p w14:paraId="2461CBDA" w14:textId="77777777" w:rsidR="00A12C3B" w:rsidRPr="00A12C3B" w:rsidRDefault="00A12C3B" w:rsidP="00A12C3B">
            <w:pPr>
              <w:spacing w:after="0"/>
              <w:jc w:val="right"/>
              <w:rPr>
                <w:rFonts w:eastAsia="Times New Roman" w:cs="Calibri"/>
                <w:color w:val="000000"/>
              </w:rPr>
            </w:pPr>
            <w:r w:rsidRPr="00A12C3B">
              <w:rPr>
                <w:rFonts w:eastAsia="Times New Roman" w:cs="Calibri"/>
                <w:color w:val="000000"/>
              </w:rPr>
              <w:t>0.9569</w:t>
            </w:r>
          </w:p>
        </w:tc>
      </w:tr>
      <w:tr w:rsidR="00A12C3B" w:rsidRPr="00A12C3B" w14:paraId="7CF7299E" w14:textId="77777777" w:rsidTr="00C01A10">
        <w:trPr>
          <w:trHeight w:val="320"/>
          <w:jc w:val="center"/>
        </w:trPr>
        <w:tc>
          <w:tcPr>
            <w:tcW w:w="1355" w:type="dxa"/>
            <w:tcBorders>
              <w:top w:val="nil"/>
              <w:left w:val="single" w:sz="4" w:space="0" w:color="auto"/>
              <w:bottom w:val="single" w:sz="4" w:space="0" w:color="auto"/>
              <w:right w:val="single" w:sz="4" w:space="0" w:color="auto"/>
            </w:tcBorders>
            <w:shd w:val="clear" w:color="auto" w:fill="auto"/>
            <w:noWrap/>
            <w:vAlign w:val="center"/>
            <w:hideMark/>
          </w:tcPr>
          <w:p w14:paraId="726D7C6D" w14:textId="77777777" w:rsidR="00A12C3B" w:rsidRPr="00A12C3B" w:rsidRDefault="00A12C3B" w:rsidP="00A12C3B">
            <w:pPr>
              <w:spacing w:after="0"/>
              <w:rPr>
                <w:rFonts w:eastAsia="Times New Roman" w:cs="Calibri"/>
                <w:i/>
                <w:iCs/>
                <w:color w:val="000000"/>
              </w:rPr>
            </w:pPr>
            <w:r w:rsidRPr="00A12C3B">
              <w:rPr>
                <w:rFonts w:eastAsia="Times New Roman" w:cs="Calibri"/>
                <w:i/>
                <w:iCs/>
                <w:color w:val="000000"/>
              </w:rPr>
              <w:t>PPV</w:t>
            </w:r>
          </w:p>
        </w:tc>
        <w:tc>
          <w:tcPr>
            <w:tcW w:w="1320" w:type="dxa"/>
            <w:tcBorders>
              <w:top w:val="nil"/>
              <w:left w:val="nil"/>
              <w:bottom w:val="single" w:sz="4" w:space="0" w:color="auto"/>
              <w:right w:val="single" w:sz="4" w:space="0" w:color="auto"/>
            </w:tcBorders>
            <w:shd w:val="clear" w:color="auto" w:fill="auto"/>
            <w:noWrap/>
            <w:vAlign w:val="center"/>
            <w:hideMark/>
          </w:tcPr>
          <w:p w14:paraId="6D4B4DDE" w14:textId="77777777" w:rsidR="00A12C3B" w:rsidRPr="00A12C3B" w:rsidRDefault="00A12C3B" w:rsidP="00A12C3B">
            <w:pPr>
              <w:spacing w:after="0"/>
              <w:jc w:val="right"/>
              <w:rPr>
                <w:rFonts w:eastAsia="Times New Roman" w:cs="Calibri"/>
                <w:color w:val="000000"/>
              </w:rPr>
            </w:pPr>
            <w:r w:rsidRPr="00A12C3B">
              <w:rPr>
                <w:rFonts w:eastAsia="Times New Roman" w:cs="Calibri"/>
                <w:color w:val="000000"/>
              </w:rPr>
              <w:t>0.9487</w:t>
            </w:r>
          </w:p>
        </w:tc>
      </w:tr>
      <w:tr w:rsidR="00A12C3B" w:rsidRPr="00A12C3B" w14:paraId="15CE73E0" w14:textId="77777777" w:rsidTr="00C01A10">
        <w:trPr>
          <w:trHeight w:val="320"/>
          <w:jc w:val="center"/>
        </w:trPr>
        <w:tc>
          <w:tcPr>
            <w:tcW w:w="1355" w:type="dxa"/>
            <w:tcBorders>
              <w:top w:val="nil"/>
              <w:left w:val="single" w:sz="4" w:space="0" w:color="auto"/>
              <w:bottom w:val="single" w:sz="4" w:space="0" w:color="auto"/>
              <w:right w:val="single" w:sz="4" w:space="0" w:color="auto"/>
            </w:tcBorders>
            <w:shd w:val="clear" w:color="auto" w:fill="auto"/>
            <w:noWrap/>
            <w:vAlign w:val="center"/>
            <w:hideMark/>
          </w:tcPr>
          <w:p w14:paraId="310488DC" w14:textId="77777777" w:rsidR="00A12C3B" w:rsidRPr="00A12C3B" w:rsidRDefault="00A12C3B" w:rsidP="00A12C3B">
            <w:pPr>
              <w:spacing w:after="0"/>
              <w:rPr>
                <w:rFonts w:eastAsia="Times New Roman" w:cs="Calibri"/>
                <w:i/>
                <w:iCs/>
                <w:color w:val="000000"/>
              </w:rPr>
            </w:pPr>
            <w:r w:rsidRPr="00A12C3B">
              <w:rPr>
                <w:rFonts w:eastAsia="Times New Roman" w:cs="Calibri"/>
                <w:i/>
                <w:iCs/>
                <w:color w:val="000000"/>
              </w:rPr>
              <w:t>TNR</w:t>
            </w:r>
          </w:p>
        </w:tc>
        <w:tc>
          <w:tcPr>
            <w:tcW w:w="1320" w:type="dxa"/>
            <w:tcBorders>
              <w:top w:val="nil"/>
              <w:left w:val="nil"/>
              <w:bottom w:val="single" w:sz="4" w:space="0" w:color="auto"/>
              <w:right w:val="single" w:sz="4" w:space="0" w:color="auto"/>
            </w:tcBorders>
            <w:shd w:val="clear" w:color="auto" w:fill="auto"/>
            <w:noWrap/>
            <w:vAlign w:val="center"/>
            <w:hideMark/>
          </w:tcPr>
          <w:p w14:paraId="16034082" w14:textId="77777777" w:rsidR="00A12C3B" w:rsidRPr="00A12C3B" w:rsidRDefault="00A12C3B" w:rsidP="00A12C3B">
            <w:pPr>
              <w:spacing w:after="0"/>
              <w:jc w:val="right"/>
              <w:rPr>
                <w:rFonts w:eastAsia="Times New Roman" w:cs="Calibri"/>
                <w:color w:val="000000"/>
              </w:rPr>
            </w:pPr>
            <w:r w:rsidRPr="00A12C3B">
              <w:rPr>
                <w:rFonts w:eastAsia="Times New Roman" w:cs="Calibri"/>
                <w:color w:val="000000"/>
              </w:rPr>
              <w:t>0.9733</w:t>
            </w:r>
          </w:p>
        </w:tc>
      </w:tr>
      <w:tr w:rsidR="00A12C3B" w:rsidRPr="00A12C3B" w14:paraId="1B9FA31C" w14:textId="77777777" w:rsidTr="00C01A10">
        <w:trPr>
          <w:trHeight w:val="320"/>
          <w:jc w:val="center"/>
        </w:trPr>
        <w:tc>
          <w:tcPr>
            <w:tcW w:w="1355" w:type="dxa"/>
            <w:tcBorders>
              <w:top w:val="nil"/>
              <w:left w:val="single" w:sz="4" w:space="0" w:color="auto"/>
              <w:bottom w:val="single" w:sz="4" w:space="0" w:color="auto"/>
              <w:right w:val="single" w:sz="4" w:space="0" w:color="auto"/>
            </w:tcBorders>
            <w:shd w:val="clear" w:color="auto" w:fill="auto"/>
            <w:noWrap/>
            <w:vAlign w:val="center"/>
            <w:hideMark/>
          </w:tcPr>
          <w:p w14:paraId="2C401824" w14:textId="77777777" w:rsidR="00A12C3B" w:rsidRPr="00A12C3B" w:rsidRDefault="00A12C3B" w:rsidP="00A12C3B">
            <w:pPr>
              <w:spacing w:after="0"/>
              <w:rPr>
                <w:rFonts w:eastAsia="Times New Roman" w:cs="Calibri"/>
                <w:i/>
                <w:iCs/>
                <w:color w:val="000000"/>
              </w:rPr>
            </w:pPr>
            <w:r w:rsidRPr="00A12C3B">
              <w:rPr>
                <w:rFonts w:eastAsia="Times New Roman" w:cs="Calibri"/>
                <w:i/>
                <w:iCs/>
                <w:color w:val="000000"/>
              </w:rPr>
              <w:t>F1-Score</w:t>
            </w:r>
          </w:p>
        </w:tc>
        <w:tc>
          <w:tcPr>
            <w:tcW w:w="1320" w:type="dxa"/>
            <w:tcBorders>
              <w:top w:val="nil"/>
              <w:left w:val="nil"/>
              <w:bottom w:val="single" w:sz="4" w:space="0" w:color="auto"/>
              <w:right w:val="single" w:sz="4" w:space="0" w:color="auto"/>
            </w:tcBorders>
            <w:shd w:val="clear" w:color="auto" w:fill="auto"/>
            <w:noWrap/>
            <w:vAlign w:val="center"/>
            <w:hideMark/>
          </w:tcPr>
          <w:p w14:paraId="31EAE6A9" w14:textId="77777777" w:rsidR="00A12C3B" w:rsidRPr="00A12C3B" w:rsidRDefault="00A12C3B" w:rsidP="00A12C3B">
            <w:pPr>
              <w:spacing w:after="0"/>
              <w:jc w:val="right"/>
              <w:rPr>
                <w:rFonts w:eastAsia="Times New Roman" w:cs="Calibri"/>
                <w:color w:val="000000"/>
              </w:rPr>
            </w:pPr>
            <w:r w:rsidRPr="00A12C3B">
              <w:rPr>
                <w:rFonts w:eastAsia="Times New Roman" w:cs="Calibri"/>
                <w:color w:val="000000"/>
              </w:rPr>
              <w:t>0.9528</w:t>
            </w:r>
          </w:p>
        </w:tc>
      </w:tr>
    </w:tbl>
    <w:p w14:paraId="4B72C262" w14:textId="77777777" w:rsidR="00EB39C0" w:rsidRDefault="00EB39C0" w:rsidP="00EB39C0">
      <w:pPr>
        <w:pStyle w:val="NormalWeb"/>
        <w:rPr>
          <w:rFonts w:ascii="OpenSymbol" w:hAnsi="OpenSymbol"/>
        </w:rPr>
      </w:pPr>
    </w:p>
    <w:p w14:paraId="2A333312" w14:textId="20B6FE5F" w:rsidR="00EB39C0" w:rsidRDefault="00EB39C0" w:rsidP="00EB39C0">
      <w:pPr>
        <w:pStyle w:val="Caption"/>
        <w:keepNext/>
        <w:jc w:val="center"/>
      </w:pPr>
      <w:r>
        <w:t xml:space="preserve">Table </w:t>
      </w:r>
      <w:r>
        <w:fldChar w:fldCharType="begin"/>
      </w:r>
      <w:r>
        <w:instrText xml:space="preserve"> SEQ Table \* ARABIC </w:instrText>
      </w:r>
      <w:r>
        <w:fldChar w:fldCharType="separate"/>
      </w:r>
      <w:r w:rsidR="008E488E">
        <w:rPr>
          <w:noProof/>
        </w:rPr>
        <w:t>3</w:t>
      </w:r>
      <w:r>
        <w:fldChar w:fldCharType="end"/>
      </w:r>
      <w:r>
        <w:t>: Confusion matrix for 60%-40% random split</w:t>
      </w:r>
      <w:r w:rsidR="00074D48">
        <w:t xml:space="preserve"> using three nearest neighbors</w:t>
      </w:r>
      <w:r>
        <w:t>.</w:t>
      </w:r>
    </w:p>
    <w:tbl>
      <w:tblPr>
        <w:tblStyle w:val="TableGrid"/>
        <w:tblW w:w="0" w:type="auto"/>
        <w:jc w:val="center"/>
        <w:tblLayout w:type="fixed"/>
        <w:tblLook w:val="04A0" w:firstRow="1" w:lastRow="0" w:firstColumn="1" w:lastColumn="0" w:noHBand="0" w:noVBand="1"/>
      </w:tblPr>
      <w:tblGrid>
        <w:gridCol w:w="1571"/>
        <w:gridCol w:w="1056"/>
        <w:gridCol w:w="1377"/>
      </w:tblGrid>
      <w:tr w:rsidR="00EB39C0" w14:paraId="282DA086" w14:textId="77777777" w:rsidTr="00EB39C0">
        <w:trPr>
          <w:jc w:val="center"/>
        </w:trPr>
        <w:tc>
          <w:tcPr>
            <w:tcW w:w="1571" w:type="dxa"/>
            <w:tcBorders>
              <w:top w:val="nil"/>
              <w:left w:val="nil"/>
            </w:tcBorders>
          </w:tcPr>
          <w:p w14:paraId="0D84E4DF" w14:textId="77777777" w:rsidR="00EB39C0" w:rsidRDefault="00EB39C0" w:rsidP="0039388F">
            <w:pPr>
              <w:pStyle w:val="NormalWeb"/>
              <w:rPr>
                <w:rFonts w:ascii="OpenSymbol" w:hAnsi="OpenSymbol"/>
              </w:rPr>
            </w:pPr>
          </w:p>
        </w:tc>
        <w:tc>
          <w:tcPr>
            <w:tcW w:w="2433" w:type="dxa"/>
            <w:gridSpan w:val="2"/>
            <w:vAlign w:val="center"/>
          </w:tcPr>
          <w:p w14:paraId="3E4CED05" w14:textId="77777777" w:rsidR="00EB39C0" w:rsidRPr="00D5665C" w:rsidRDefault="00EB39C0" w:rsidP="00EB39C0">
            <w:pPr>
              <w:pStyle w:val="NormalWeb"/>
              <w:jc w:val="center"/>
              <w:rPr>
                <w:rFonts w:ascii="OpenSymbol" w:hAnsi="OpenSymbol"/>
                <w:b/>
              </w:rPr>
            </w:pPr>
            <w:r w:rsidRPr="00D5665C">
              <w:rPr>
                <w:rFonts w:ascii="OpenSymbol" w:hAnsi="OpenSymbol"/>
                <w:b/>
              </w:rPr>
              <w:t>Predicted Values</w:t>
            </w:r>
          </w:p>
        </w:tc>
      </w:tr>
      <w:tr w:rsidR="00EB39C0" w14:paraId="757C0A80" w14:textId="77777777" w:rsidTr="00DB2B39">
        <w:trPr>
          <w:trHeight w:val="377"/>
          <w:jc w:val="center"/>
        </w:trPr>
        <w:tc>
          <w:tcPr>
            <w:tcW w:w="1571" w:type="dxa"/>
            <w:vAlign w:val="center"/>
          </w:tcPr>
          <w:p w14:paraId="797407FF" w14:textId="77777777" w:rsidR="00EB39C0" w:rsidRPr="00D5665C" w:rsidRDefault="00EB39C0" w:rsidP="00EB39C0">
            <w:pPr>
              <w:pStyle w:val="NormalWeb"/>
              <w:jc w:val="right"/>
              <w:rPr>
                <w:rFonts w:ascii="OpenSymbol" w:hAnsi="OpenSymbol"/>
                <w:b/>
              </w:rPr>
            </w:pPr>
            <w:r w:rsidRPr="00D5665C">
              <w:rPr>
                <w:rFonts w:ascii="OpenSymbol" w:hAnsi="OpenSymbol"/>
                <w:b/>
              </w:rPr>
              <w:t>True Values</w:t>
            </w:r>
          </w:p>
        </w:tc>
        <w:tc>
          <w:tcPr>
            <w:tcW w:w="1056" w:type="dxa"/>
            <w:tcBorders>
              <w:bottom w:val="double" w:sz="4" w:space="0" w:color="auto"/>
            </w:tcBorders>
            <w:vAlign w:val="center"/>
          </w:tcPr>
          <w:p w14:paraId="7363C13D" w14:textId="45AB8A41" w:rsidR="00EB39C0" w:rsidRPr="00DB2B39" w:rsidRDefault="00EB39C0" w:rsidP="00EB39C0">
            <w:pPr>
              <w:pStyle w:val="NormalWeb"/>
              <w:jc w:val="center"/>
              <w:rPr>
                <w:rFonts w:ascii="OpenSymbol" w:hAnsi="OpenSymbol"/>
                <w:i/>
              </w:rPr>
            </w:pPr>
            <w:r w:rsidRPr="00DB2B39">
              <w:rPr>
                <w:rFonts w:ascii="OpenSymbol" w:hAnsi="OpenSymbol"/>
                <w:i/>
              </w:rPr>
              <w:t>Benign</w:t>
            </w:r>
          </w:p>
        </w:tc>
        <w:tc>
          <w:tcPr>
            <w:tcW w:w="1377" w:type="dxa"/>
            <w:tcBorders>
              <w:bottom w:val="double" w:sz="4" w:space="0" w:color="auto"/>
            </w:tcBorders>
            <w:vAlign w:val="center"/>
          </w:tcPr>
          <w:p w14:paraId="54F927E3" w14:textId="2C07915A" w:rsidR="00EB39C0" w:rsidRPr="00DB2B39" w:rsidRDefault="00EB39C0" w:rsidP="00EB39C0">
            <w:pPr>
              <w:pStyle w:val="NormalWeb"/>
              <w:jc w:val="center"/>
              <w:rPr>
                <w:rFonts w:ascii="OpenSymbol" w:hAnsi="OpenSymbol"/>
                <w:i/>
              </w:rPr>
            </w:pPr>
            <w:r w:rsidRPr="00DB2B39">
              <w:rPr>
                <w:rFonts w:ascii="OpenSymbol" w:hAnsi="OpenSymbol"/>
                <w:i/>
              </w:rPr>
              <w:t>Malignant</w:t>
            </w:r>
          </w:p>
        </w:tc>
      </w:tr>
      <w:tr w:rsidR="00EB39C0" w14:paraId="59B09310" w14:textId="77777777" w:rsidTr="00DB2B39">
        <w:trPr>
          <w:trHeight w:val="330"/>
          <w:jc w:val="center"/>
        </w:trPr>
        <w:tc>
          <w:tcPr>
            <w:tcW w:w="1571" w:type="dxa"/>
            <w:tcBorders>
              <w:right w:val="double" w:sz="4" w:space="0" w:color="auto"/>
            </w:tcBorders>
            <w:vAlign w:val="center"/>
          </w:tcPr>
          <w:p w14:paraId="32ABC4F1" w14:textId="17559F2E" w:rsidR="00EB39C0" w:rsidRPr="00DB2B39" w:rsidRDefault="00EB39C0" w:rsidP="00EB39C0">
            <w:pPr>
              <w:pStyle w:val="NormalWeb"/>
              <w:jc w:val="right"/>
              <w:rPr>
                <w:rFonts w:ascii="OpenSymbol" w:hAnsi="OpenSymbol"/>
                <w:i/>
              </w:rPr>
            </w:pPr>
            <w:r w:rsidRPr="00DB2B39">
              <w:rPr>
                <w:rFonts w:ascii="OpenSymbol" w:hAnsi="OpenSymbol"/>
                <w:i/>
              </w:rPr>
              <w:t>Benign</w:t>
            </w:r>
          </w:p>
        </w:tc>
        <w:tc>
          <w:tcPr>
            <w:tcW w:w="1056" w:type="dxa"/>
            <w:tcBorders>
              <w:top w:val="double" w:sz="4" w:space="0" w:color="auto"/>
              <w:left w:val="double" w:sz="4" w:space="0" w:color="auto"/>
            </w:tcBorders>
            <w:vAlign w:val="center"/>
          </w:tcPr>
          <w:p w14:paraId="02AF0F85" w14:textId="13F54627" w:rsidR="00EB39C0" w:rsidRDefault="00EB39C0" w:rsidP="00EB39C0">
            <w:pPr>
              <w:pStyle w:val="NormalWeb"/>
              <w:jc w:val="center"/>
              <w:rPr>
                <w:rFonts w:ascii="OpenSymbol" w:hAnsi="OpenSymbol"/>
              </w:rPr>
            </w:pPr>
            <w:r>
              <w:rPr>
                <w:rFonts w:ascii="OpenSymbol" w:hAnsi="OpenSymbol"/>
              </w:rPr>
              <w:t>219</w:t>
            </w:r>
          </w:p>
        </w:tc>
        <w:tc>
          <w:tcPr>
            <w:tcW w:w="1377" w:type="dxa"/>
            <w:tcBorders>
              <w:top w:val="double" w:sz="4" w:space="0" w:color="auto"/>
            </w:tcBorders>
            <w:vAlign w:val="center"/>
          </w:tcPr>
          <w:p w14:paraId="10F31D1D" w14:textId="6C761B64" w:rsidR="00EB39C0" w:rsidRDefault="00EB39C0" w:rsidP="00EB39C0">
            <w:pPr>
              <w:pStyle w:val="NormalWeb"/>
              <w:jc w:val="center"/>
              <w:rPr>
                <w:rFonts w:ascii="OpenSymbol" w:hAnsi="OpenSymbol"/>
              </w:rPr>
            </w:pPr>
            <w:r>
              <w:rPr>
                <w:rFonts w:ascii="OpenSymbol" w:hAnsi="OpenSymbol"/>
              </w:rPr>
              <w:t>6</w:t>
            </w:r>
          </w:p>
        </w:tc>
      </w:tr>
      <w:tr w:rsidR="00EB39C0" w14:paraId="178079CE" w14:textId="77777777" w:rsidTr="00DB2B39">
        <w:trPr>
          <w:trHeight w:val="359"/>
          <w:jc w:val="center"/>
        </w:trPr>
        <w:tc>
          <w:tcPr>
            <w:tcW w:w="1571" w:type="dxa"/>
            <w:tcBorders>
              <w:right w:val="double" w:sz="4" w:space="0" w:color="auto"/>
            </w:tcBorders>
            <w:vAlign w:val="center"/>
          </w:tcPr>
          <w:p w14:paraId="6606C020" w14:textId="6DEA557E" w:rsidR="00EB39C0" w:rsidRPr="00DB2B39" w:rsidRDefault="00EB39C0" w:rsidP="00EB39C0">
            <w:pPr>
              <w:pStyle w:val="NormalWeb"/>
              <w:jc w:val="right"/>
              <w:rPr>
                <w:rFonts w:ascii="OpenSymbol" w:hAnsi="OpenSymbol"/>
                <w:i/>
              </w:rPr>
            </w:pPr>
            <w:r w:rsidRPr="00DB2B39">
              <w:rPr>
                <w:rFonts w:ascii="OpenSymbol" w:hAnsi="OpenSymbol"/>
                <w:i/>
              </w:rPr>
              <w:t>Malignant</w:t>
            </w:r>
          </w:p>
        </w:tc>
        <w:tc>
          <w:tcPr>
            <w:tcW w:w="1056" w:type="dxa"/>
            <w:tcBorders>
              <w:left w:val="double" w:sz="4" w:space="0" w:color="auto"/>
            </w:tcBorders>
            <w:vAlign w:val="center"/>
          </w:tcPr>
          <w:p w14:paraId="2C057A5F" w14:textId="33A4D70E" w:rsidR="00EB39C0" w:rsidRDefault="00EB39C0" w:rsidP="00EB39C0">
            <w:pPr>
              <w:pStyle w:val="NormalWeb"/>
              <w:jc w:val="center"/>
              <w:rPr>
                <w:rFonts w:ascii="OpenSymbol" w:hAnsi="OpenSymbol"/>
              </w:rPr>
            </w:pPr>
            <w:r>
              <w:rPr>
                <w:rFonts w:ascii="OpenSymbol" w:hAnsi="OpenSymbol"/>
              </w:rPr>
              <w:t>5</w:t>
            </w:r>
          </w:p>
        </w:tc>
        <w:tc>
          <w:tcPr>
            <w:tcW w:w="1377" w:type="dxa"/>
            <w:vAlign w:val="center"/>
          </w:tcPr>
          <w:p w14:paraId="693453D1" w14:textId="2116ED51" w:rsidR="00EB39C0" w:rsidRDefault="00EB39C0" w:rsidP="00EB39C0">
            <w:pPr>
              <w:pStyle w:val="NormalWeb"/>
              <w:jc w:val="center"/>
              <w:rPr>
                <w:rFonts w:ascii="OpenSymbol" w:hAnsi="OpenSymbol"/>
              </w:rPr>
            </w:pPr>
            <w:r>
              <w:rPr>
                <w:rFonts w:ascii="OpenSymbol" w:hAnsi="OpenSymbol"/>
              </w:rPr>
              <w:t>111</w:t>
            </w:r>
          </w:p>
        </w:tc>
      </w:tr>
    </w:tbl>
    <w:p w14:paraId="16747A4F" w14:textId="1821FFF8" w:rsidR="00EB39C0" w:rsidRPr="00BD1B15" w:rsidRDefault="00316CA4" w:rsidP="00EB39C0">
      <w:pPr>
        <w:pStyle w:val="NormalWeb"/>
        <w:rPr>
          <w:rFonts w:ascii="OpenSymbol" w:hAnsi="OpenSymbol"/>
        </w:rPr>
      </w:pPr>
      <w:r>
        <w:rPr>
          <w:rFonts w:ascii="OpenSymbol" w:hAnsi="OpenSymbol"/>
        </w:rPr>
        <w:t xml:space="preserve">Using a </w:t>
      </w:r>
      <w:r>
        <w:rPr>
          <w:rFonts w:ascii="OpenSymbol" w:hAnsi="OpenSymbol"/>
          <w:i/>
        </w:rPr>
        <w:t>k</w:t>
      </w:r>
      <w:r>
        <w:rPr>
          <w:rFonts w:ascii="OpenSymbol" w:hAnsi="OpenSymbol"/>
        </w:rPr>
        <w:t xml:space="preserve">-value of 3 with the 60%-40% provided a relatively high 96.77% accuracy. </w:t>
      </w:r>
      <w:r w:rsidR="00E54F40">
        <w:rPr>
          <w:rFonts w:ascii="OpenSymbol" w:hAnsi="OpenSymbol"/>
        </w:rPr>
        <w:t xml:space="preserve">The number for the </w:t>
      </w:r>
      <w:r w:rsidR="00E54F40">
        <w:rPr>
          <w:rFonts w:ascii="OpenSymbol" w:hAnsi="OpenSymbol"/>
          <w:i/>
        </w:rPr>
        <w:t>k</w:t>
      </w:r>
      <w:r w:rsidR="00E54F40">
        <w:rPr>
          <w:rFonts w:ascii="OpenSymbol" w:hAnsi="OpenSymbol"/>
        </w:rPr>
        <w:t xml:space="preserve">-value is a hyperparameter that should reflect the best possible value that provides an adequate level of </w:t>
      </w:r>
      <w:proofErr w:type="gramStart"/>
      <w:r w:rsidR="00E54F40">
        <w:rPr>
          <w:rFonts w:ascii="OpenSymbol" w:hAnsi="OpenSymbol"/>
        </w:rPr>
        <w:t>accuracy, but</w:t>
      </w:r>
      <w:proofErr w:type="gramEnd"/>
      <w:r w:rsidR="00E54F40">
        <w:rPr>
          <w:rFonts w:ascii="OpenSymbol" w:hAnsi="OpenSymbol"/>
        </w:rPr>
        <w:t xml:space="preserve"> does not overfit the data (bias-variance tradeoff). </w:t>
      </w:r>
      <w:r w:rsidR="003453FB">
        <w:rPr>
          <w:rFonts w:ascii="OpenSymbol" w:hAnsi="OpenSymbol"/>
        </w:rPr>
        <w:t xml:space="preserve">A method to </w:t>
      </w:r>
      <w:r w:rsidR="00102938">
        <w:rPr>
          <w:rFonts w:ascii="OpenSymbol" w:hAnsi="OpenSymbol"/>
        </w:rPr>
        <w:t xml:space="preserve">choose an appropriate </w:t>
      </w:r>
      <w:r w:rsidR="00102938">
        <w:rPr>
          <w:rFonts w:ascii="OpenSymbol" w:hAnsi="OpenSymbol"/>
          <w:i/>
        </w:rPr>
        <w:t>k</w:t>
      </w:r>
      <w:r w:rsidR="00102938">
        <w:rPr>
          <w:rFonts w:ascii="OpenSymbol" w:hAnsi="OpenSymbol"/>
        </w:rPr>
        <w:t>-value</w:t>
      </w:r>
      <w:r w:rsidR="00053490">
        <w:rPr>
          <w:rFonts w:ascii="OpenSymbol" w:hAnsi="OpenSymbol"/>
        </w:rPr>
        <w:t xml:space="preserve"> is to plot the error rate as a function of the hyperparameter </w:t>
      </w:r>
      <w:r w:rsidR="00053490">
        <w:rPr>
          <w:rFonts w:ascii="OpenSymbol" w:hAnsi="OpenSymbol"/>
          <w:i/>
        </w:rPr>
        <w:t>k</w:t>
      </w:r>
      <w:r w:rsidR="00053490">
        <w:rPr>
          <w:rFonts w:ascii="OpenSymbol" w:hAnsi="OpenSymbol"/>
        </w:rPr>
        <w:t xml:space="preserve">. </w:t>
      </w:r>
      <w:r w:rsidR="00BD1B15">
        <w:rPr>
          <w:rFonts w:ascii="OpenSymbol" w:hAnsi="OpenSymbol"/>
        </w:rPr>
        <w:t xml:space="preserve">Using the created python functions, the error rate is plotted for using </w:t>
      </w:r>
      <w:r w:rsidR="00BD1B15">
        <w:rPr>
          <w:rFonts w:ascii="OpenSymbol" w:hAnsi="OpenSymbol"/>
          <w:i/>
        </w:rPr>
        <w:t>k</w:t>
      </w:r>
      <w:r w:rsidR="003268B4">
        <w:rPr>
          <w:rFonts w:ascii="OpenSymbol" w:hAnsi="OpenSymbol"/>
        </w:rPr>
        <w:t>-values ranging from 2</w:t>
      </w:r>
      <w:r w:rsidR="00BD1B15">
        <w:rPr>
          <w:rFonts w:ascii="OpenSymbol" w:hAnsi="OpenSymbol"/>
        </w:rPr>
        <w:t xml:space="preserve"> to 8 </w:t>
      </w:r>
      <w:r w:rsidR="00283AE2">
        <w:rPr>
          <w:rFonts w:ascii="OpenSymbol" w:hAnsi="OpenSymbol"/>
        </w:rPr>
        <w:t xml:space="preserve">was calculated with the results provided </w:t>
      </w:r>
      <w:proofErr w:type="gramStart"/>
      <w:r w:rsidR="00283AE2">
        <w:rPr>
          <w:rFonts w:ascii="OpenSymbol" w:hAnsi="OpenSymbol"/>
        </w:rPr>
        <w:t>in .</w:t>
      </w:r>
      <w:proofErr w:type="gramEnd"/>
    </w:p>
    <w:p w14:paraId="023F3339" w14:textId="1C34DBDD" w:rsidR="003268B4" w:rsidRDefault="00AD5FCB" w:rsidP="003268B4">
      <w:pPr>
        <w:keepNext/>
        <w:jc w:val="center"/>
      </w:pPr>
      <w:r>
        <w:rPr>
          <w:noProof/>
        </w:rPr>
        <w:drawing>
          <wp:inline distT="0" distB="0" distL="0" distR="0" wp14:anchorId="32E37D9C" wp14:editId="1FD5F841">
            <wp:extent cx="4288121" cy="2789442"/>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NN_Elbow_ErrorRate.png"/>
                    <pic:cNvPicPr/>
                  </pic:nvPicPr>
                  <pic:blipFill rotWithShape="1">
                    <a:blip r:embed="rId8"/>
                    <a:srcRect t="10470" r="8245"/>
                    <a:stretch/>
                  </pic:blipFill>
                  <pic:spPr bwMode="auto">
                    <a:xfrm>
                      <a:off x="0" y="0"/>
                      <a:ext cx="4297303" cy="2795415"/>
                    </a:xfrm>
                    <a:prstGeom prst="rect">
                      <a:avLst/>
                    </a:prstGeom>
                    <a:ln>
                      <a:noFill/>
                    </a:ln>
                    <a:extLst>
                      <a:ext uri="{53640926-AAD7-44D8-BBD7-CCE9431645EC}">
                        <a14:shadowObscured xmlns:a14="http://schemas.microsoft.com/office/drawing/2010/main"/>
                      </a:ext>
                    </a:extLst>
                  </pic:spPr>
                </pic:pic>
              </a:graphicData>
            </a:graphic>
          </wp:inline>
        </w:drawing>
      </w:r>
    </w:p>
    <w:p w14:paraId="723F9E74" w14:textId="188AD1F5" w:rsidR="00BD1B15" w:rsidRDefault="003268B4" w:rsidP="003268B4">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Error rate as a function of the hyperparameter </w:t>
      </w:r>
      <w:r>
        <w:rPr>
          <w:i/>
        </w:rPr>
        <w:t>k</w:t>
      </w:r>
      <w:r w:rsidR="00BD05CA">
        <w:t>-value</w:t>
      </w:r>
      <w:r>
        <w:t xml:space="preserve">. </w:t>
      </w:r>
    </w:p>
    <w:p w14:paraId="20A573F4" w14:textId="2E27E778" w:rsidR="00E97C58" w:rsidRDefault="00A46670" w:rsidP="00E97C58">
      <w:r>
        <w:lastRenderedPageBreak/>
        <w:t xml:space="preserve">Using the </w:t>
      </w:r>
      <w:r>
        <w:rPr>
          <w:i/>
        </w:rPr>
        <w:t>k</w:t>
      </w:r>
      <w:r>
        <w:t xml:space="preserve">-value range from 2 to 8 as well as 17 and 33 nearest neighbors, the </w:t>
      </w:r>
      <w:proofErr w:type="gramStart"/>
      <w:r>
        <w:t>five performance</w:t>
      </w:r>
      <w:proofErr w:type="gramEnd"/>
      <w:r>
        <w:t xml:space="preserve"> metrics were calculated, provided in </w:t>
      </w:r>
      <w:r w:rsidR="001633DA">
        <w:fldChar w:fldCharType="begin"/>
      </w:r>
      <w:r w:rsidR="001633DA">
        <w:instrText xml:space="preserve"> REF _Ref529105097 \h </w:instrText>
      </w:r>
      <w:r w:rsidR="001633DA">
        <w:fldChar w:fldCharType="separate"/>
      </w:r>
      <w:r w:rsidR="001633DA">
        <w:t xml:space="preserve">Table </w:t>
      </w:r>
      <w:r w:rsidR="001633DA">
        <w:rPr>
          <w:noProof/>
        </w:rPr>
        <w:t>4</w:t>
      </w:r>
      <w:r w:rsidR="001633DA">
        <w:fldChar w:fldCharType="end"/>
      </w:r>
      <w:r>
        <w:t>, to assist in the hyperparameter selection.</w:t>
      </w:r>
    </w:p>
    <w:p w14:paraId="5143C3CD" w14:textId="3F3AEA4C" w:rsidR="00BD35D7" w:rsidRPr="00067EF9" w:rsidRDefault="00BD35D7" w:rsidP="00BD35D7">
      <w:pPr>
        <w:pStyle w:val="Caption"/>
        <w:keepNext/>
        <w:jc w:val="center"/>
      </w:pPr>
      <w:bookmarkStart w:id="2" w:name="_Ref529105097"/>
      <w:r>
        <w:t xml:space="preserve">Table </w:t>
      </w:r>
      <w:r>
        <w:fldChar w:fldCharType="begin"/>
      </w:r>
      <w:r>
        <w:instrText xml:space="preserve"> SEQ Table \* ARABIC </w:instrText>
      </w:r>
      <w:r>
        <w:fldChar w:fldCharType="separate"/>
      </w:r>
      <w:r w:rsidR="008E488E">
        <w:rPr>
          <w:noProof/>
        </w:rPr>
        <w:t>4</w:t>
      </w:r>
      <w:r>
        <w:fldChar w:fldCharType="end"/>
      </w:r>
      <w:bookmarkEnd w:id="2"/>
      <w:r>
        <w:t xml:space="preserve">: </w:t>
      </w:r>
      <w:r w:rsidR="0007054E">
        <w:rPr>
          <w:i/>
        </w:rPr>
        <w:t>k-</w:t>
      </w:r>
      <w:r w:rsidR="0007054E">
        <w:t xml:space="preserve">NN </w:t>
      </w:r>
      <w:r w:rsidR="00067EF9">
        <w:t xml:space="preserve">Performance metrics for multiple </w:t>
      </w:r>
      <w:r w:rsidR="00067EF9">
        <w:rPr>
          <w:i/>
        </w:rPr>
        <w:t>k</w:t>
      </w:r>
      <w:r w:rsidR="00067EF9">
        <w:t>-values</w:t>
      </w:r>
      <w:r w:rsidR="00C064FF">
        <w:t>.</w:t>
      </w:r>
    </w:p>
    <w:tbl>
      <w:tblPr>
        <w:tblW w:w="6238" w:type="dxa"/>
        <w:jc w:val="center"/>
        <w:tblLook w:val="04A0" w:firstRow="1" w:lastRow="0" w:firstColumn="1" w:lastColumn="0" w:noHBand="0" w:noVBand="1"/>
      </w:tblPr>
      <w:tblGrid>
        <w:gridCol w:w="1160"/>
        <w:gridCol w:w="1266"/>
        <w:gridCol w:w="869"/>
        <w:gridCol w:w="869"/>
        <w:gridCol w:w="869"/>
        <w:gridCol w:w="1205"/>
      </w:tblGrid>
      <w:tr w:rsidR="00A46670" w:rsidRPr="00A46670" w14:paraId="020FDFA8" w14:textId="77777777" w:rsidTr="00A46670">
        <w:trPr>
          <w:trHeight w:val="320"/>
          <w:jc w:val="center"/>
        </w:trPr>
        <w:tc>
          <w:tcPr>
            <w:tcW w:w="1160" w:type="dxa"/>
            <w:tcBorders>
              <w:top w:val="single" w:sz="4" w:space="0" w:color="auto"/>
              <w:left w:val="single" w:sz="4" w:space="0" w:color="auto"/>
              <w:bottom w:val="double" w:sz="6" w:space="0" w:color="auto"/>
              <w:right w:val="nil"/>
            </w:tcBorders>
            <w:shd w:val="clear" w:color="auto" w:fill="auto"/>
            <w:noWrap/>
            <w:vAlign w:val="center"/>
            <w:hideMark/>
          </w:tcPr>
          <w:p w14:paraId="7C875206" w14:textId="77777777" w:rsidR="00A46670" w:rsidRPr="00A46670" w:rsidRDefault="00A46670" w:rsidP="00A46670">
            <w:pPr>
              <w:spacing w:after="0"/>
              <w:rPr>
                <w:rFonts w:eastAsia="Times New Roman" w:cs="Calibri"/>
                <w:b/>
                <w:bCs/>
                <w:color w:val="000000"/>
                <w:sz w:val="22"/>
                <w:szCs w:val="22"/>
              </w:rPr>
            </w:pPr>
            <w:r w:rsidRPr="00A46670">
              <w:rPr>
                <w:rFonts w:eastAsia="Times New Roman" w:cs="Calibri"/>
                <w:b/>
                <w:bCs/>
                <w:color w:val="000000"/>
                <w:sz w:val="22"/>
                <w:szCs w:val="22"/>
              </w:rPr>
              <w:t>k-NN No.</w:t>
            </w:r>
          </w:p>
        </w:tc>
        <w:tc>
          <w:tcPr>
            <w:tcW w:w="1266" w:type="dxa"/>
            <w:tcBorders>
              <w:top w:val="single" w:sz="4" w:space="0" w:color="auto"/>
              <w:left w:val="single" w:sz="4" w:space="0" w:color="auto"/>
              <w:bottom w:val="double" w:sz="6" w:space="0" w:color="auto"/>
              <w:right w:val="single" w:sz="4" w:space="0" w:color="auto"/>
            </w:tcBorders>
            <w:shd w:val="clear" w:color="auto" w:fill="auto"/>
            <w:noWrap/>
            <w:vAlign w:val="center"/>
            <w:hideMark/>
          </w:tcPr>
          <w:p w14:paraId="6E62A67D" w14:textId="77777777" w:rsidR="00A46670" w:rsidRPr="00A46670" w:rsidRDefault="00A46670" w:rsidP="00A46670">
            <w:pPr>
              <w:spacing w:after="0"/>
              <w:jc w:val="center"/>
              <w:rPr>
                <w:rFonts w:eastAsia="Times New Roman" w:cs="Calibri"/>
                <w:b/>
                <w:bCs/>
                <w:color w:val="000000"/>
                <w:sz w:val="22"/>
                <w:szCs w:val="22"/>
              </w:rPr>
            </w:pPr>
            <w:r w:rsidRPr="00A46670">
              <w:rPr>
                <w:rFonts w:eastAsia="Times New Roman" w:cs="Calibri"/>
                <w:b/>
                <w:bCs/>
                <w:color w:val="000000"/>
                <w:sz w:val="22"/>
                <w:szCs w:val="22"/>
              </w:rPr>
              <w:t>Accuracy</w:t>
            </w:r>
          </w:p>
        </w:tc>
        <w:tc>
          <w:tcPr>
            <w:tcW w:w="869" w:type="dxa"/>
            <w:tcBorders>
              <w:top w:val="single" w:sz="4" w:space="0" w:color="auto"/>
              <w:left w:val="nil"/>
              <w:bottom w:val="double" w:sz="6" w:space="0" w:color="auto"/>
              <w:right w:val="nil"/>
            </w:tcBorders>
            <w:shd w:val="clear" w:color="auto" w:fill="auto"/>
            <w:noWrap/>
            <w:vAlign w:val="center"/>
            <w:hideMark/>
          </w:tcPr>
          <w:p w14:paraId="599A026B" w14:textId="77777777" w:rsidR="00A46670" w:rsidRPr="00A46670" w:rsidRDefault="00A46670" w:rsidP="00A46670">
            <w:pPr>
              <w:spacing w:after="0"/>
              <w:jc w:val="center"/>
              <w:rPr>
                <w:rFonts w:eastAsia="Times New Roman" w:cs="Calibri"/>
                <w:b/>
                <w:bCs/>
                <w:color w:val="000000"/>
                <w:sz w:val="22"/>
                <w:szCs w:val="22"/>
              </w:rPr>
            </w:pPr>
            <w:r w:rsidRPr="00A46670">
              <w:rPr>
                <w:rFonts w:eastAsia="Times New Roman" w:cs="Calibri"/>
                <w:b/>
                <w:bCs/>
                <w:color w:val="000000"/>
                <w:sz w:val="22"/>
                <w:szCs w:val="22"/>
              </w:rPr>
              <w:t>TPR</w:t>
            </w:r>
          </w:p>
        </w:tc>
        <w:tc>
          <w:tcPr>
            <w:tcW w:w="869" w:type="dxa"/>
            <w:tcBorders>
              <w:top w:val="single" w:sz="4" w:space="0" w:color="auto"/>
              <w:left w:val="single" w:sz="4" w:space="0" w:color="auto"/>
              <w:bottom w:val="double" w:sz="6" w:space="0" w:color="auto"/>
              <w:right w:val="single" w:sz="4" w:space="0" w:color="auto"/>
            </w:tcBorders>
            <w:shd w:val="clear" w:color="auto" w:fill="auto"/>
            <w:noWrap/>
            <w:vAlign w:val="center"/>
            <w:hideMark/>
          </w:tcPr>
          <w:p w14:paraId="045BAA34" w14:textId="77777777" w:rsidR="00A46670" w:rsidRPr="00A46670" w:rsidRDefault="00A46670" w:rsidP="00A46670">
            <w:pPr>
              <w:spacing w:after="0"/>
              <w:jc w:val="center"/>
              <w:rPr>
                <w:rFonts w:eastAsia="Times New Roman" w:cs="Calibri"/>
                <w:b/>
                <w:bCs/>
                <w:color w:val="000000"/>
                <w:sz w:val="22"/>
                <w:szCs w:val="22"/>
              </w:rPr>
            </w:pPr>
            <w:r w:rsidRPr="00A46670">
              <w:rPr>
                <w:rFonts w:eastAsia="Times New Roman" w:cs="Calibri"/>
                <w:b/>
                <w:bCs/>
                <w:color w:val="000000"/>
                <w:sz w:val="22"/>
                <w:szCs w:val="22"/>
              </w:rPr>
              <w:t>PPV</w:t>
            </w:r>
          </w:p>
        </w:tc>
        <w:tc>
          <w:tcPr>
            <w:tcW w:w="869" w:type="dxa"/>
            <w:tcBorders>
              <w:top w:val="single" w:sz="4" w:space="0" w:color="auto"/>
              <w:left w:val="nil"/>
              <w:bottom w:val="double" w:sz="6" w:space="0" w:color="auto"/>
              <w:right w:val="nil"/>
            </w:tcBorders>
            <w:shd w:val="clear" w:color="auto" w:fill="auto"/>
            <w:noWrap/>
            <w:vAlign w:val="center"/>
            <w:hideMark/>
          </w:tcPr>
          <w:p w14:paraId="4B9D2C83" w14:textId="77777777" w:rsidR="00A46670" w:rsidRPr="00A46670" w:rsidRDefault="00A46670" w:rsidP="00A46670">
            <w:pPr>
              <w:spacing w:after="0"/>
              <w:jc w:val="center"/>
              <w:rPr>
                <w:rFonts w:eastAsia="Times New Roman" w:cs="Calibri"/>
                <w:b/>
                <w:bCs/>
                <w:color w:val="000000"/>
                <w:sz w:val="22"/>
                <w:szCs w:val="22"/>
              </w:rPr>
            </w:pPr>
            <w:r w:rsidRPr="00A46670">
              <w:rPr>
                <w:rFonts w:eastAsia="Times New Roman" w:cs="Calibri"/>
                <w:b/>
                <w:bCs/>
                <w:color w:val="000000"/>
                <w:sz w:val="22"/>
                <w:szCs w:val="22"/>
              </w:rPr>
              <w:t>TNR</w:t>
            </w:r>
          </w:p>
        </w:tc>
        <w:tc>
          <w:tcPr>
            <w:tcW w:w="1205" w:type="dxa"/>
            <w:tcBorders>
              <w:top w:val="single" w:sz="4" w:space="0" w:color="auto"/>
              <w:left w:val="single" w:sz="4" w:space="0" w:color="auto"/>
              <w:bottom w:val="double" w:sz="6" w:space="0" w:color="auto"/>
              <w:right w:val="single" w:sz="4" w:space="0" w:color="auto"/>
            </w:tcBorders>
            <w:shd w:val="clear" w:color="auto" w:fill="auto"/>
            <w:noWrap/>
            <w:vAlign w:val="center"/>
            <w:hideMark/>
          </w:tcPr>
          <w:p w14:paraId="67C16A17" w14:textId="77777777" w:rsidR="00A46670" w:rsidRPr="00A46670" w:rsidRDefault="00A46670" w:rsidP="00A46670">
            <w:pPr>
              <w:spacing w:after="0"/>
              <w:jc w:val="center"/>
              <w:rPr>
                <w:rFonts w:eastAsia="Times New Roman" w:cs="Calibri"/>
                <w:b/>
                <w:bCs/>
                <w:color w:val="000000"/>
                <w:sz w:val="22"/>
                <w:szCs w:val="22"/>
              </w:rPr>
            </w:pPr>
            <w:r w:rsidRPr="00A46670">
              <w:rPr>
                <w:rFonts w:eastAsia="Times New Roman" w:cs="Calibri"/>
                <w:b/>
                <w:bCs/>
                <w:color w:val="000000"/>
                <w:sz w:val="22"/>
                <w:szCs w:val="22"/>
              </w:rPr>
              <w:t>F1 Score</w:t>
            </w:r>
          </w:p>
        </w:tc>
      </w:tr>
      <w:tr w:rsidR="00A46670" w:rsidRPr="00A46670" w14:paraId="45042EDF" w14:textId="77777777" w:rsidTr="00A46670">
        <w:trPr>
          <w:trHeight w:val="320"/>
          <w:jc w:val="center"/>
        </w:trPr>
        <w:tc>
          <w:tcPr>
            <w:tcW w:w="1160" w:type="dxa"/>
            <w:tcBorders>
              <w:top w:val="nil"/>
              <w:left w:val="single" w:sz="4" w:space="0" w:color="auto"/>
              <w:bottom w:val="nil"/>
              <w:right w:val="nil"/>
            </w:tcBorders>
            <w:shd w:val="clear" w:color="auto" w:fill="auto"/>
            <w:noWrap/>
            <w:vAlign w:val="center"/>
            <w:hideMark/>
          </w:tcPr>
          <w:p w14:paraId="3603E7B4" w14:textId="77777777" w:rsidR="00A46670" w:rsidRPr="00A46670" w:rsidRDefault="00A46670" w:rsidP="00A46670">
            <w:pPr>
              <w:spacing w:after="0"/>
              <w:ind w:firstLineChars="100" w:firstLine="220"/>
              <w:rPr>
                <w:rFonts w:eastAsia="Times New Roman" w:cs="Calibri"/>
                <w:color w:val="000000"/>
                <w:sz w:val="22"/>
                <w:szCs w:val="22"/>
              </w:rPr>
            </w:pPr>
            <w:r w:rsidRPr="00A46670">
              <w:rPr>
                <w:rFonts w:eastAsia="Times New Roman" w:cs="Calibri"/>
                <w:color w:val="000000"/>
                <w:sz w:val="22"/>
                <w:szCs w:val="22"/>
              </w:rPr>
              <w:t>2</w:t>
            </w:r>
          </w:p>
        </w:tc>
        <w:tc>
          <w:tcPr>
            <w:tcW w:w="1266" w:type="dxa"/>
            <w:tcBorders>
              <w:top w:val="nil"/>
              <w:left w:val="single" w:sz="4" w:space="0" w:color="auto"/>
              <w:bottom w:val="nil"/>
              <w:right w:val="single" w:sz="4" w:space="0" w:color="auto"/>
            </w:tcBorders>
            <w:shd w:val="clear" w:color="auto" w:fill="auto"/>
            <w:noWrap/>
            <w:vAlign w:val="center"/>
            <w:hideMark/>
          </w:tcPr>
          <w:p w14:paraId="4EDCBCA8"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0.965</w:t>
            </w:r>
          </w:p>
        </w:tc>
        <w:tc>
          <w:tcPr>
            <w:tcW w:w="869" w:type="dxa"/>
            <w:tcBorders>
              <w:top w:val="nil"/>
              <w:left w:val="nil"/>
              <w:bottom w:val="nil"/>
              <w:right w:val="nil"/>
            </w:tcBorders>
            <w:shd w:val="clear" w:color="auto" w:fill="auto"/>
            <w:noWrap/>
            <w:vAlign w:val="center"/>
            <w:hideMark/>
          </w:tcPr>
          <w:p w14:paraId="053E68D4"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0.949</w:t>
            </w:r>
          </w:p>
        </w:tc>
        <w:tc>
          <w:tcPr>
            <w:tcW w:w="869" w:type="dxa"/>
            <w:tcBorders>
              <w:top w:val="nil"/>
              <w:left w:val="single" w:sz="4" w:space="0" w:color="auto"/>
              <w:bottom w:val="nil"/>
              <w:right w:val="single" w:sz="4" w:space="0" w:color="auto"/>
            </w:tcBorders>
            <w:shd w:val="clear" w:color="auto" w:fill="auto"/>
            <w:noWrap/>
            <w:vAlign w:val="center"/>
            <w:hideMark/>
          </w:tcPr>
          <w:p w14:paraId="464840CB"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0.949</w:t>
            </w:r>
          </w:p>
        </w:tc>
        <w:tc>
          <w:tcPr>
            <w:tcW w:w="869" w:type="dxa"/>
            <w:tcBorders>
              <w:top w:val="nil"/>
              <w:left w:val="nil"/>
              <w:bottom w:val="nil"/>
              <w:right w:val="nil"/>
            </w:tcBorders>
            <w:shd w:val="clear" w:color="auto" w:fill="auto"/>
            <w:noWrap/>
            <w:vAlign w:val="center"/>
            <w:hideMark/>
          </w:tcPr>
          <w:p w14:paraId="5CEA72ED"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0.973</w:t>
            </w:r>
          </w:p>
        </w:tc>
        <w:tc>
          <w:tcPr>
            <w:tcW w:w="1205" w:type="dxa"/>
            <w:tcBorders>
              <w:top w:val="nil"/>
              <w:left w:val="single" w:sz="4" w:space="0" w:color="auto"/>
              <w:bottom w:val="nil"/>
              <w:right w:val="single" w:sz="4" w:space="0" w:color="auto"/>
            </w:tcBorders>
            <w:shd w:val="clear" w:color="auto" w:fill="auto"/>
            <w:noWrap/>
            <w:vAlign w:val="center"/>
            <w:hideMark/>
          </w:tcPr>
          <w:p w14:paraId="2947DD5E"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0.949</w:t>
            </w:r>
          </w:p>
        </w:tc>
      </w:tr>
      <w:tr w:rsidR="00A46670" w:rsidRPr="00A46670" w14:paraId="426723BF" w14:textId="77777777" w:rsidTr="00A46670">
        <w:trPr>
          <w:trHeight w:val="300"/>
          <w:jc w:val="center"/>
        </w:trPr>
        <w:tc>
          <w:tcPr>
            <w:tcW w:w="1160" w:type="dxa"/>
            <w:tcBorders>
              <w:top w:val="nil"/>
              <w:left w:val="single" w:sz="4" w:space="0" w:color="auto"/>
              <w:bottom w:val="nil"/>
              <w:right w:val="nil"/>
            </w:tcBorders>
            <w:shd w:val="clear" w:color="auto" w:fill="auto"/>
            <w:noWrap/>
            <w:vAlign w:val="center"/>
            <w:hideMark/>
          </w:tcPr>
          <w:p w14:paraId="4C87050A" w14:textId="77777777" w:rsidR="00A46670" w:rsidRPr="00A46670" w:rsidRDefault="00A46670" w:rsidP="00A46670">
            <w:pPr>
              <w:spacing w:after="0"/>
              <w:ind w:firstLineChars="100" w:firstLine="220"/>
              <w:rPr>
                <w:rFonts w:eastAsia="Times New Roman" w:cs="Calibri"/>
                <w:color w:val="000000"/>
                <w:sz w:val="22"/>
                <w:szCs w:val="22"/>
              </w:rPr>
            </w:pPr>
            <w:r w:rsidRPr="00A46670">
              <w:rPr>
                <w:rFonts w:eastAsia="Times New Roman" w:cs="Calibri"/>
                <w:color w:val="000000"/>
                <w:sz w:val="22"/>
                <w:szCs w:val="22"/>
              </w:rPr>
              <w:t>3</w:t>
            </w:r>
          </w:p>
        </w:tc>
        <w:tc>
          <w:tcPr>
            <w:tcW w:w="1266" w:type="dxa"/>
            <w:tcBorders>
              <w:top w:val="nil"/>
              <w:left w:val="single" w:sz="4" w:space="0" w:color="auto"/>
              <w:bottom w:val="nil"/>
              <w:right w:val="single" w:sz="4" w:space="0" w:color="auto"/>
            </w:tcBorders>
            <w:shd w:val="clear" w:color="auto" w:fill="auto"/>
            <w:noWrap/>
            <w:vAlign w:val="center"/>
            <w:hideMark/>
          </w:tcPr>
          <w:p w14:paraId="72D93D47"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0.959</w:t>
            </w:r>
          </w:p>
        </w:tc>
        <w:tc>
          <w:tcPr>
            <w:tcW w:w="869" w:type="dxa"/>
            <w:tcBorders>
              <w:top w:val="nil"/>
              <w:left w:val="nil"/>
              <w:bottom w:val="nil"/>
              <w:right w:val="nil"/>
            </w:tcBorders>
            <w:shd w:val="clear" w:color="auto" w:fill="auto"/>
            <w:noWrap/>
            <w:vAlign w:val="center"/>
            <w:hideMark/>
          </w:tcPr>
          <w:p w14:paraId="1310B52C"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0.923</w:t>
            </w:r>
          </w:p>
        </w:tc>
        <w:tc>
          <w:tcPr>
            <w:tcW w:w="869" w:type="dxa"/>
            <w:tcBorders>
              <w:top w:val="nil"/>
              <w:left w:val="single" w:sz="4" w:space="0" w:color="auto"/>
              <w:bottom w:val="nil"/>
              <w:right w:val="single" w:sz="4" w:space="0" w:color="auto"/>
            </w:tcBorders>
            <w:shd w:val="clear" w:color="auto" w:fill="auto"/>
            <w:noWrap/>
            <w:vAlign w:val="center"/>
            <w:hideMark/>
          </w:tcPr>
          <w:p w14:paraId="03030D83"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0.956</w:t>
            </w:r>
          </w:p>
        </w:tc>
        <w:tc>
          <w:tcPr>
            <w:tcW w:w="869" w:type="dxa"/>
            <w:tcBorders>
              <w:top w:val="nil"/>
              <w:left w:val="nil"/>
              <w:bottom w:val="nil"/>
              <w:right w:val="nil"/>
            </w:tcBorders>
            <w:shd w:val="clear" w:color="auto" w:fill="auto"/>
            <w:noWrap/>
            <w:vAlign w:val="center"/>
            <w:hideMark/>
          </w:tcPr>
          <w:p w14:paraId="272A1ABB"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0.978</w:t>
            </w:r>
          </w:p>
        </w:tc>
        <w:tc>
          <w:tcPr>
            <w:tcW w:w="1205" w:type="dxa"/>
            <w:tcBorders>
              <w:top w:val="nil"/>
              <w:left w:val="single" w:sz="4" w:space="0" w:color="auto"/>
              <w:bottom w:val="nil"/>
              <w:right w:val="single" w:sz="4" w:space="0" w:color="auto"/>
            </w:tcBorders>
            <w:shd w:val="clear" w:color="auto" w:fill="auto"/>
            <w:noWrap/>
            <w:vAlign w:val="center"/>
            <w:hideMark/>
          </w:tcPr>
          <w:p w14:paraId="15503DFF"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0.939</w:t>
            </w:r>
          </w:p>
        </w:tc>
      </w:tr>
      <w:tr w:rsidR="00A46670" w:rsidRPr="00A46670" w14:paraId="6662A6B6" w14:textId="77777777" w:rsidTr="00BC1867">
        <w:trPr>
          <w:trHeight w:val="300"/>
          <w:jc w:val="center"/>
        </w:trPr>
        <w:tc>
          <w:tcPr>
            <w:tcW w:w="1160" w:type="dxa"/>
            <w:tcBorders>
              <w:left w:val="single" w:sz="4" w:space="0" w:color="auto"/>
              <w:bottom w:val="single" w:sz="4" w:space="0" w:color="auto"/>
              <w:right w:val="nil"/>
            </w:tcBorders>
            <w:shd w:val="clear" w:color="auto" w:fill="auto"/>
            <w:noWrap/>
            <w:vAlign w:val="center"/>
            <w:hideMark/>
          </w:tcPr>
          <w:p w14:paraId="09D33480" w14:textId="77777777" w:rsidR="00A46670" w:rsidRPr="00A46670" w:rsidRDefault="00A46670" w:rsidP="00A46670">
            <w:pPr>
              <w:spacing w:after="0"/>
              <w:ind w:firstLineChars="100" w:firstLine="220"/>
              <w:rPr>
                <w:rFonts w:eastAsia="Times New Roman" w:cs="Calibri"/>
                <w:color w:val="000000"/>
                <w:sz w:val="22"/>
                <w:szCs w:val="22"/>
              </w:rPr>
            </w:pPr>
            <w:r w:rsidRPr="00A46670">
              <w:rPr>
                <w:rFonts w:eastAsia="Times New Roman" w:cs="Calibri"/>
                <w:color w:val="000000"/>
                <w:sz w:val="22"/>
                <w:szCs w:val="22"/>
              </w:rPr>
              <w:t>4</w:t>
            </w:r>
          </w:p>
        </w:tc>
        <w:tc>
          <w:tcPr>
            <w:tcW w:w="1266" w:type="dxa"/>
            <w:tcBorders>
              <w:left w:val="single" w:sz="4" w:space="0" w:color="auto"/>
              <w:bottom w:val="single" w:sz="4" w:space="0" w:color="auto"/>
              <w:right w:val="single" w:sz="4" w:space="0" w:color="auto"/>
            </w:tcBorders>
            <w:shd w:val="clear" w:color="auto" w:fill="auto"/>
            <w:noWrap/>
            <w:vAlign w:val="center"/>
            <w:hideMark/>
          </w:tcPr>
          <w:p w14:paraId="0691CB60"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0.971</w:t>
            </w:r>
          </w:p>
        </w:tc>
        <w:tc>
          <w:tcPr>
            <w:tcW w:w="869" w:type="dxa"/>
            <w:tcBorders>
              <w:left w:val="nil"/>
              <w:bottom w:val="single" w:sz="4" w:space="0" w:color="auto"/>
              <w:right w:val="nil"/>
            </w:tcBorders>
            <w:shd w:val="clear" w:color="auto" w:fill="auto"/>
            <w:noWrap/>
            <w:vAlign w:val="center"/>
            <w:hideMark/>
          </w:tcPr>
          <w:p w14:paraId="2233D02F"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0.957</w:t>
            </w:r>
          </w:p>
        </w:tc>
        <w:tc>
          <w:tcPr>
            <w:tcW w:w="869" w:type="dxa"/>
            <w:tcBorders>
              <w:left w:val="single" w:sz="4" w:space="0" w:color="auto"/>
              <w:bottom w:val="single" w:sz="4" w:space="0" w:color="auto"/>
              <w:right w:val="single" w:sz="4" w:space="0" w:color="auto"/>
            </w:tcBorders>
            <w:shd w:val="clear" w:color="auto" w:fill="auto"/>
            <w:noWrap/>
            <w:vAlign w:val="center"/>
            <w:hideMark/>
          </w:tcPr>
          <w:p w14:paraId="38C6584B"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0.957</w:t>
            </w:r>
          </w:p>
        </w:tc>
        <w:tc>
          <w:tcPr>
            <w:tcW w:w="869" w:type="dxa"/>
            <w:tcBorders>
              <w:left w:val="nil"/>
              <w:bottom w:val="single" w:sz="4" w:space="0" w:color="auto"/>
              <w:right w:val="nil"/>
            </w:tcBorders>
            <w:shd w:val="clear" w:color="auto" w:fill="auto"/>
            <w:noWrap/>
            <w:vAlign w:val="center"/>
            <w:hideMark/>
          </w:tcPr>
          <w:p w14:paraId="2C35F815"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0.978</w:t>
            </w:r>
          </w:p>
        </w:tc>
        <w:tc>
          <w:tcPr>
            <w:tcW w:w="1205" w:type="dxa"/>
            <w:tcBorders>
              <w:left w:val="single" w:sz="4" w:space="0" w:color="auto"/>
              <w:bottom w:val="single" w:sz="4" w:space="0" w:color="auto"/>
              <w:right w:val="single" w:sz="4" w:space="0" w:color="auto"/>
            </w:tcBorders>
            <w:shd w:val="clear" w:color="auto" w:fill="auto"/>
            <w:noWrap/>
            <w:vAlign w:val="center"/>
            <w:hideMark/>
          </w:tcPr>
          <w:p w14:paraId="2D7B185E"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0.957</w:t>
            </w:r>
          </w:p>
        </w:tc>
      </w:tr>
      <w:tr w:rsidR="00A46670" w:rsidRPr="00A46670" w14:paraId="3CC704C4" w14:textId="77777777" w:rsidTr="00BC1867">
        <w:trPr>
          <w:trHeight w:val="300"/>
          <w:jc w:val="center"/>
        </w:trPr>
        <w:tc>
          <w:tcPr>
            <w:tcW w:w="1160" w:type="dxa"/>
            <w:tcBorders>
              <w:top w:val="single" w:sz="4" w:space="0" w:color="auto"/>
              <w:left w:val="single" w:sz="4" w:space="0" w:color="auto"/>
              <w:bottom w:val="nil"/>
              <w:right w:val="nil"/>
            </w:tcBorders>
            <w:shd w:val="clear" w:color="auto" w:fill="auto"/>
            <w:noWrap/>
            <w:vAlign w:val="center"/>
            <w:hideMark/>
          </w:tcPr>
          <w:p w14:paraId="71A288C7" w14:textId="77777777" w:rsidR="00A46670" w:rsidRPr="00A46670" w:rsidRDefault="00A46670" w:rsidP="00A46670">
            <w:pPr>
              <w:spacing w:after="0"/>
              <w:ind w:firstLineChars="100" w:firstLine="220"/>
              <w:rPr>
                <w:rFonts w:eastAsia="Times New Roman" w:cs="Calibri"/>
                <w:color w:val="000000"/>
                <w:sz w:val="22"/>
                <w:szCs w:val="22"/>
              </w:rPr>
            </w:pPr>
            <w:r w:rsidRPr="00A46670">
              <w:rPr>
                <w:rFonts w:eastAsia="Times New Roman" w:cs="Calibri"/>
                <w:color w:val="000000"/>
                <w:sz w:val="22"/>
                <w:szCs w:val="22"/>
              </w:rPr>
              <w:t>5</w:t>
            </w:r>
          </w:p>
        </w:tc>
        <w:tc>
          <w:tcPr>
            <w:tcW w:w="1266" w:type="dxa"/>
            <w:tcBorders>
              <w:top w:val="single" w:sz="4" w:space="0" w:color="auto"/>
              <w:left w:val="single" w:sz="4" w:space="0" w:color="auto"/>
              <w:bottom w:val="nil"/>
              <w:right w:val="single" w:sz="4" w:space="0" w:color="auto"/>
            </w:tcBorders>
            <w:shd w:val="clear" w:color="auto" w:fill="auto"/>
            <w:noWrap/>
            <w:vAlign w:val="center"/>
            <w:hideMark/>
          </w:tcPr>
          <w:p w14:paraId="03663362"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0.959</w:t>
            </w:r>
          </w:p>
        </w:tc>
        <w:tc>
          <w:tcPr>
            <w:tcW w:w="869" w:type="dxa"/>
            <w:tcBorders>
              <w:top w:val="single" w:sz="4" w:space="0" w:color="auto"/>
              <w:left w:val="nil"/>
              <w:bottom w:val="nil"/>
              <w:right w:val="nil"/>
            </w:tcBorders>
            <w:shd w:val="clear" w:color="auto" w:fill="auto"/>
            <w:noWrap/>
            <w:vAlign w:val="center"/>
            <w:hideMark/>
          </w:tcPr>
          <w:p w14:paraId="02CDD819"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0.923</w:t>
            </w:r>
          </w:p>
        </w:tc>
        <w:tc>
          <w:tcPr>
            <w:tcW w:w="869" w:type="dxa"/>
            <w:tcBorders>
              <w:top w:val="single" w:sz="4" w:space="0" w:color="auto"/>
              <w:left w:val="single" w:sz="4" w:space="0" w:color="auto"/>
              <w:bottom w:val="nil"/>
              <w:right w:val="single" w:sz="4" w:space="0" w:color="auto"/>
            </w:tcBorders>
            <w:shd w:val="clear" w:color="auto" w:fill="auto"/>
            <w:noWrap/>
            <w:vAlign w:val="center"/>
            <w:hideMark/>
          </w:tcPr>
          <w:p w14:paraId="2DE7F1FA"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0.956</w:t>
            </w:r>
          </w:p>
        </w:tc>
        <w:tc>
          <w:tcPr>
            <w:tcW w:w="869" w:type="dxa"/>
            <w:tcBorders>
              <w:top w:val="single" w:sz="4" w:space="0" w:color="auto"/>
              <w:left w:val="nil"/>
              <w:bottom w:val="nil"/>
              <w:right w:val="nil"/>
            </w:tcBorders>
            <w:shd w:val="clear" w:color="auto" w:fill="auto"/>
            <w:noWrap/>
            <w:vAlign w:val="center"/>
            <w:hideMark/>
          </w:tcPr>
          <w:p w14:paraId="363AD4D2"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0.978</w:t>
            </w:r>
          </w:p>
        </w:tc>
        <w:tc>
          <w:tcPr>
            <w:tcW w:w="1205" w:type="dxa"/>
            <w:tcBorders>
              <w:top w:val="single" w:sz="4" w:space="0" w:color="auto"/>
              <w:left w:val="single" w:sz="4" w:space="0" w:color="auto"/>
              <w:bottom w:val="nil"/>
              <w:right w:val="single" w:sz="4" w:space="0" w:color="auto"/>
            </w:tcBorders>
            <w:shd w:val="clear" w:color="auto" w:fill="auto"/>
            <w:noWrap/>
            <w:vAlign w:val="center"/>
            <w:hideMark/>
          </w:tcPr>
          <w:p w14:paraId="0A035455"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0.939</w:t>
            </w:r>
          </w:p>
        </w:tc>
      </w:tr>
      <w:tr w:rsidR="00A46670" w:rsidRPr="00A46670" w14:paraId="0F200FD1" w14:textId="77777777" w:rsidTr="00A46670">
        <w:trPr>
          <w:trHeight w:val="300"/>
          <w:jc w:val="center"/>
        </w:trPr>
        <w:tc>
          <w:tcPr>
            <w:tcW w:w="1160" w:type="dxa"/>
            <w:tcBorders>
              <w:top w:val="nil"/>
              <w:left w:val="single" w:sz="4" w:space="0" w:color="auto"/>
              <w:bottom w:val="nil"/>
              <w:right w:val="nil"/>
            </w:tcBorders>
            <w:shd w:val="clear" w:color="auto" w:fill="auto"/>
            <w:noWrap/>
            <w:vAlign w:val="center"/>
            <w:hideMark/>
          </w:tcPr>
          <w:p w14:paraId="3A0E9C69" w14:textId="77777777" w:rsidR="00A46670" w:rsidRPr="00A46670" w:rsidRDefault="00A46670" w:rsidP="00A46670">
            <w:pPr>
              <w:spacing w:after="0"/>
              <w:ind w:firstLineChars="100" w:firstLine="220"/>
              <w:rPr>
                <w:rFonts w:eastAsia="Times New Roman" w:cs="Calibri"/>
                <w:color w:val="000000"/>
                <w:sz w:val="22"/>
                <w:szCs w:val="22"/>
              </w:rPr>
            </w:pPr>
            <w:r w:rsidRPr="00A46670">
              <w:rPr>
                <w:rFonts w:eastAsia="Times New Roman" w:cs="Calibri"/>
                <w:color w:val="000000"/>
                <w:sz w:val="22"/>
                <w:szCs w:val="22"/>
              </w:rPr>
              <w:t>6</w:t>
            </w:r>
          </w:p>
        </w:tc>
        <w:tc>
          <w:tcPr>
            <w:tcW w:w="1266" w:type="dxa"/>
            <w:tcBorders>
              <w:top w:val="nil"/>
              <w:left w:val="single" w:sz="4" w:space="0" w:color="auto"/>
              <w:bottom w:val="nil"/>
              <w:right w:val="single" w:sz="4" w:space="0" w:color="auto"/>
            </w:tcBorders>
            <w:shd w:val="clear" w:color="auto" w:fill="auto"/>
            <w:noWrap/>
            <w:vAlign w:val="center"/>
            <w:hideMark/>
          </w:tcPr>
          <w:p w14:paraId="5D932D60"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0.974</w:t>
            </w:r>
          </w:p>
        </w:tc>
        <w:tc>
          <w:tcPr>
            <w:tcW w:w="869" w:type="dxa"/>
            <w:tcBorders>
              <w:top w:val="nil"/>
              <w:left w:val="nil"/>
              <w:bottom w:val="nil"/>
              <w:right w:val="nil"/>
            </w:tcBorders>
            <w:shd w:val="clear" w:color="auto" w:fill="auto"/>
            <w:noWrap/>
            <w:vAlign w:val="center"/>
            <w:hideMark/>
          </w:tcPr>
          <w:p w14:paraId="7240B5C8"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0.974</w:t>
            </w:r>
          </w:p>
        </w:tc>
        <w:tc>
          <w:tcPr>
            <w:tcW w:w="869" w:type="dxa"/>
            <w:tcBorders>
              <w:top w:val="nil"/>
              <w:left w:val="single" w:sz="4" w:space="0" w:color="auto"/>
              <w:bottom w:val="nil"/>
              <w:right w:val="single" w:sz="4" w:space="0" w:color="auto"/>
            </w:tcBorders>
            <w:shd w:val="clear" w:color="auto" w:fill="auto"/>
            <w:noWrap/>
            <w:vAlign w:val="center"/>
            <w:hideMark/>
          </w:tcPr>
          <w:p w14:paraId="378AA7CD"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0.950</w:t>
            </w:r>
          </w:p>
        </w:tc>
        <w:tc>
          <w:tcPr>
            <w:tcW w:w="869" w:type="dxa"/>
            <w:tcBorders>
              <w:top w:val="nil"/>
              <w:left w:val="nil"/>
              <w:bottom w:val="nil"/>
              <w:right w:val="nil"/>
            </w:tcBorders>
            <w:shd w:val="clear" w:color="auto" w:fill="auto"/>
            <w:noWrap/>
            <w:vAlign w:val="center"/>
            <w:hideMark/>
          </w:tcPr>
          <w:p w14:paraId="5D543DE9"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0.973</w:t>
            </w:r>
          </w:p>
        </w:tc>
        <w:tc>
          <w:tcPr>
            <w:tcW w:w="1205" w:type="dxa"/>
            <w:tcBorders>
              <w:top w:val="nil"/>
              <w:left w:val="single" w:sz="4" w:space="0" w:color="auto"/>
              <w:bottom w:val="nil"/>
              <w:right w:val="single" w:sz="4" w:space="0" w:color="auto"/>
            </w:tcBorders>
            <w:shd w:val="clear" w:color="auto" w:fill="auto"/>
            <w:noWrap/>
            <w:vAlign w:val="center"/>
            <w:hideMark/>
          </w:tcPr>
          <w:p w14:paraId="03D7F6B4"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0.962</w:t>
            </w:r>
          </w:p>
        </w:tc>
      </w:tr>
      <w:tr w:rsidR="00A46670" w:rsidRPr="00A46670" w14:paraId="51F6288A" w14:textId="77777777" w:rsidTr="00BC1867">
        <w:trPr>
          <w:trHeight w:val="300"/>
          <w:jc w:val="center"/>
        </w:trPr>
        <w:tc>
          <w:tcPr>
            <w:tcW w:w="1160" w:type="dxa"/>
            <w:tcBorders>
              <w:top w:val="nil"/>
              <w:left w:val="single" w:sz="4" w:space="0" w:color="auto"/>
              <w:bottom w:val="single" w:sz="4" w:space="0" w:color="auto"/>
              <w:right w:val="nil"/>
            </w:tcBorders>
            <w:shd w:val="clear" w:color="auto" w:fill="auto"/>
            <w:noWrap/>
            <w:vAlign w:val="center"/>
            <w:hideMark/>
          </w:tcPr>
          <w:p w14:paraId="5C0B6FC9" w14:textId="77777777" w:rsidR="00A46670" w:rsidRPr="00A46670" w:rsidRDefault="00A46670" w:rsidP="00A46670">
            <w:pPr>
              <w:spacing w:after="0"/>
              <w:ind w:firstLineChars="100" w:firstLine="220"/>
              <w:rPr>
                <w:rFonts w:eastAsia="Times New Roman" w:cs="Calibri"/>
                <w:color w:val="000000"/>
                <w:sz w:val="22"/>
                <w:szCs w:val="22"/>
              </w:rPr>
            </w:pPr>
            <w:r w:rsidRPr="00A46670">
              <w:rPr>
                <w:rFonts w:eastAsia="Times New Roman" w:cs="Calibri"/>
                <w:color w:val="000000"/>
                <w:sz w:val="22"/>
                <w:szCs w:val="22"/>
              </w:rPr>
              <w:t>7</w:t>
            </w:r>
          </w:p>
        </w:tc>
        <w:tc>
          <w:tcPr>
            <w:tcW w:w="1266" w:type="dxa"/>
            <w:tcBorders>
              <w:top w:val="nil"/>
              <w:left w:val="single" w:sz="4" w:space="0" w:color="auto"/>
              <w:bottom w:val="single" w:sz="4" w:space="0" w:color="auto"/>
              <w:right w:val="single" w:sz="4" w:space="0" w:color="auto"/>
            </w:tcBorders>
            <w:shd w:val="clear" w:color="auto" w:fill="auto"/>
            <w:noWrap/>
            <w:vAlign w:val="center"/>
            <w:hideMark/>
          </w:tcPr>
          <w:p w14:paraId="3DCC47F6"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0.968</w:t>
            </w:r>
          </w:p>
        </w:tc>
        <w:tc>
          <w:tcPr>
            <w:tcW w:w="869" w:type="dxa"/>
            <w:tcBorders>
              <w:top w:val="nil"/>
              <w:left w:val="nil"/>
              <w:bottom w:val="single" w:sz="4" w:space="0" w:color="auto"/>
              <w:right w:val="nil"/>
            </w:tcBorders>
            <w:shd w:val="clear" w:color="auto" w:fill="auto"/>
            <w:noWrap/>
            <w:vAlign w:val="center"/>
            <w:hideMark/>
          </w:tcPr>
          <w:p w14:paraId="60F18F51"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0.957</w:t>
            </w:r>
          </w:p>
        </w:tc>
        <w:tc>
          <w:tcPr>
            <w:tcW w:w="869" w:type="dxa"/>
            <w:tcBorders>
              <w:top w:val="nil"/>
              <w:left w:val="single" w:sz="4" w:space="0" w:color="auto"/>
              <w:bottom w:val="single" w:sz="4" w:space="0" w:color="auto"/>
              <w:right w:val="single" w:sz="4" w:space="0" w:color="auto"/>
            </w:tcBorders>
            <w:shd w:val="clear" w:color="auto" w:fill="auto"/>
            <w:noWrap/>
            <w:vAlign w:val="center"/>
            <w:hideMark/>
          </w:tcPr>
          <w:p w14:paraId="2E14064C"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0.949</w:t>
            </w:r>
          </w:p>
        </w:tc>
        <w:tc>
          <w:tcPr>
            <w:tcW w:w="869" w:type="dxa"/>
            <w:tcBorders>
              <w:top w:val="nil"/>
              <w:left w:val="nil"/>
              <w:bottom w:val="single" w:sz="4" w:space="0" w:color="auto"/>
              <w:right w:val="nil"/>
            </w:tcBorders>
            <w:shd w:val="clear" w:color="auto" w:fill="auto"/>
            <w:noWrap/>
            <w:vAlign w:val="center"/>
            <w:hideMark/>
          </w:tcPr>
          <w:p w14:paraId="51424C5A"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0.973</w:t>
            </w:r>
          </w:p>
        </w:tc>
        <w:tc>
          <w:tcPr>
            <w:tcW w:w="1205" w:type="dxa"/>
            <w:tcBorders>
              <w:top w:val="nil"/>
              <w:left w:val="single" w:sz="4" w:space="0" w:color="auto"/>
              <w:bottom w:val="single" w:sz="4" w:space="0" w:color="auto"/>
              <w:right w:val="single" w:sz="4" w:space="0" w:color="auto"/>
            </w:tcBorders>
            <w:shd w:val="clear" w:color="auto" w:fill="auto"/>
            <w:noWrap/>
            <w:vAlign w:val="center"/>
            <w:hideMark/>
          </w:tcPr>
          <w:p w14:paraId="7778021E"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0.953</w:t>
            </w:r>
          </w:p>
        </w:tc>
      </w:tr>
      <w:tr w:rsidR="00A46670" w:rsidRPr="00A46670" w14:paraId="7CA4C994" w14:textId="77777777" w:rsidTr="00BC1867">
        <w:trPr>
          <w:trHeight w:val="300"/>
          <w:jc w:val="center"/>
        </w:trPr>
        <w:tc>
          <w:tcPr>
            <w:tcW w:w="1160" w:type="dxa"/>
            <w:tcBorders>
              <w:top w:val="single" w:sz="4" w:space="0" w:color="auto"/>
              <w:left w:val="single" w:sz="4" w:space="0" w:color="auto"/>
              <w:bottom w:val="nil"/>
              <w:right w:val="nil"/>
            </w:tcBorders>
            <w:shd w:val="clear" w:color="auto" w:fill="auto"/>
            <w:noWrap/>
            <w:vAlign w:val="center"/>
            <w:hideMark/>
          </w:tcPr>
          <w:p w14:paraId="6B7E28D8" w14:textId="77777777" w:rsidR="00A46670" w:rsidRPr="00A46670" w:rsidRDefault="00A46670" w:rsidP="00A46670">
            <w:pPr>
              <w:spacing w:after="0"/>
              <w:ind w:firstLineChars="100" w:firstLine="220"/>
              <w:rPr>
                <w:rFonts w:eastAsia="Times New Roman" w:cs="Calibri"/>
                <w:color w:val="000000"/>
                <w:sz w:val="22"/>
                <w:szCs w:val="22"/>
              </w:rPr>
            </w:pPr>
            <w:r w:rsidRPr="00A46670">
              <w:rPr>
                <w:rFonts w:eastAsia="Times New Roman" w:cs="Calibri"/>
                <w:color w:val="000000"/>
                <w:sz w:val="22"/>
                <w:szCs w:val="22"/>
              </w:rPr>
              <w:t>8</w:t>
            </w:r>
          </w:p>
        </w:tc>
        <w:tc>
          <w:tcPr>
            <w:tcW w:w="1266" w:type="dxa"/>
            <w:tcBorders>
              <w:top w:val="single" w:sz="4" w:space="0" w:color="auto"/>
              <w:left w:val="single" w:sz="4" w:space="0" w:color="auto"/>
              <w:bottom w:val="nil"/>
              <w:right w:val="single" w:sz="4" w:space="0" w:color="auto"/>
            </w:tcBorders>
            <w:shd w:val="clear" w:color="auto" w:fill="auto"/>
            <w:noWrap/>
            <w:vAlign w:val="center"/>
            <w:hideMark/>
          </w:tcPr>
          <w:p w14:paraId="61F1EA31" w14:textId="086AD5D6" w:rsidR="00A46670" w:rsidRPr="005B167B" w:rsidRDefault="005B167B" w:rsidP="005B167B">
            <w:pPr>
              <w:pStyle w:val="HTMLPreformatted"/>
              <w:shd w:val="clear" w:color="auto" w:fill="FFFFFF"/>
              <w:wordWrap w:val="0"/>
              <w:jc w:val="center"/>
              <w:rPr>
                <w:rFonts w:ascii="Cambria" w:hAnsi="Cambria"/>
                <w:sz w:val="22"/>
                <w:szCs w:val="22"/>
              </w:rPr>
            </w:pPr>
            <w:r w:rsidRPr="005B167B">
              <w:rPr>
                <w:rFonts w:ascii="Cambria" w:hAnsi="Cambria"/>
                <w:sz w:val="22"/>
                <w:szCs w:val="22"/>
              </w:rPr>
              <w:t>0.97</w:t>
            </w:r>
            <w:r w:rsidR="00E2140E">
              <w:rPr>
                <w:rFonts w:ascii="Cambria" w:hAnsi="Cambria"/>
                <w:sz w:val="22"/>
                <w:szCs w:val="22"/>
              </w:rPr>
              <w:t>7</w:t>
            </w:r>
          </w:p>
        </w:tc>
        <w:tc>
          <w:tcPr>
            <w:tcW w:w="869" w:type="dxa"/>
            <w:tcBorders>
              <w:top w:val="single" w:sz="4" w:space="0" w:color="auto"/>
              <w:left w:val="nil"/>
              <w:bottom w:val="nil"/>
              <w:right w:val="nil"/>
            </w:tcBorders>
            <w:shd w:val="clear" w:color="auto" w:fill="auto"/>
            <w:noWrap/>
            <w:vAlign w:val="center"/>
            <w:hideMark/>
          </w:tcPr>
          <w:p w14:paraId="18B2403B" w14:textId="7AC720B1"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w:t>
            </w:r>
            <w:r w:rsidR="005B167B">
              <w:rPr>
                <w:rFonts w:eastAsia="Times New Roman" w:cs="Calibri"/>
                <w:color w:val="000000"/>
                <w:sz w:val="22"/>
                <w:szCs w:val="22"/>
              </w:rPr>
              <w:t>983</w:t>
            </w:r>
          </w:p>
        </w:tc>
        <w:tc>
          <w:tcPr>
            <w:tcW w:w="869" w:type="dxa"/>
            <w:tcBorders>
              <w:top w:val="single" w:sz="4" w:space="0" w:color="auto"/>
              <w:left w:val="single" w:sz="4" w:space="0" w:color="auto"/>
              <w:bottom w:val="nil"/>
              <w:right w:val="single" w:sz="4" w:space="0" w:color="auto"/>
            </w:tcBorders>
            <w:shd w:val="clear" w:color="auto" w:fill="auto"/>
            <w:noWrap/>
            <w:vAlign w:val="center"/>
            <w:hideMark/>
          </w:tcPr>
          <w:p w14:paraId="0956D687" w14:textId="76C482EF" w:rsidR="00A46670" w:rsidRPr="00A46670" w:rsidRDefault="005B167B" w:rsidP="00A46670">
            <w:pPr>
              <w:spacing w:after="0"/>
              <w:jc w:val="center"/>
              <w:rPr>
                <w:rFonts w:eastAsia="Times New Roman" w:cs="Calibri"/>
                <w:color w:val="000000"/>
                <w:sz w:val="22"/>
                <w:szCs w:val="22"/>
              </w:rPr>
            </w:pPr>
            <w:r>
              <w:rPr>
                <w:rFonts w:eastAsia="Times New Roman" w:cs="Calibri"/>
                <w:color w:val="000000"/>
                <w:sz w:val="22"/>
                <w:szCs w:val="22"/>
              </w:rPr>
              <w:t>0.9</w:t>
            </w:r>
            <w:r w:rsidR="00E97267">
              <w:rPr>
                <w:rFonts w:eastAsia="Times New Roman" w:cs="Calibri"/>
                <w:color w:val="000000"/>
                <w:sz w:val="22"/>
                <w:szCs w:val="22"/>
              </w:rPr>
              <w:t>50</w:t>
            </w:r>
          </w:p>
        </w:tc>
        <w:tc>
          <w:tcPr>
            <w:tcW w:w="869" w:type="dxa"/>
            <w:tcBorders>
              <w:top w:val="single" w:sz="4" w:space="0" w:color="auto"/>
              <w:left w:val="nil"/>
              <w:bottom w:val="nil"/>
              <w:right w:val="nil"/>
            </w:tcBorders>
            <w:shd w:val="clear" w:color="auto" w:fill="auto"/>
            <w:noWrap/>
            <w:vAlign w:val="center"/>
            <w:hideMark/>
          </w:tcPr>
          <w:p w14:paraId="6370AA45" w14:textId="1B12BC66" w:rsidR="00A46670" w:rsidRPr="00A46670" w:rsidRDefault="00E97267" w:rsidP="00A46670">
            <w:pPr>
              <w:spacing w:after="0"/>
              <w:jc w:val="center"/>
              <w:rPr>
                <w:rFonts w:eastAsia="Times New Roman" w:cs="Calibri"/>
                <w:color w:val="000000"/>
                <w:sz w:val="22"/>
                <w:szCs w:val="22"/>
              </w:rPr>
            </w:pPr>
            <w:r>
              <w:rPr>
                <w:rFonts w:eastAsia="Times New Roman" w:cs="Calibri"/>
                <w:color w:val="000000"/>
                <w:sz w:val="22"/>
                <w:szCs w:val="22"/>
              </w:rPr>
              <w:t>0.974</w:t>
            </w:r>
          </w:p>
        </w:tc>
        <w:tc>
          <w:tcPr>
            <w:tcW w:w="1205" w:type="dxa"/>
            <w:tcBorders>
              <w:top w:val="single" w:sz="4" w:space="0" w:color="auto"/>
              <w:left w:val="single" w:sz="4" w:space="0" w:color="auto"/>
              <w:bottom w:val="nil"/>
              <w:right w:val="single" w:sz="4" w:space="0" w:color="auto"/>
            </w:tcBorders>
            <w:shd w:val="clear" w:color="auto" w:fill="auto"/>
            <w:noWrap/>
            <w:vAlign w:val="center"/>
            <w:hideMark/>
          </w:tcPr>
          <w:p w14:paraId="7440FFDD" w14:textId="5093D633" w:rsidR="00A46670" w:rsidRPr="00A46670" w:rsidRDefault="00E97267" w:rsidP="00A46670">
            <w:pPr>
              <w:spacing w:after="0"/>
              <w:jc w:val="center"/>
              <w:rPr>
                <w:rFonts w:eastAsia="Times New Roman" w:cs="Calibri"/>
                <w:color w:val="000000"/>
                <w:sz w:val="22"/>
                <w:szCs w:val="22"/>
              </w:rPr>
            </w:pPr>
            <w:r>
              <w:rPr>
                <w:rFonts w:eastAsia="Times New Roman" w:cs="Calibri"/>
                <w:color w:val="000000"/>
                <w:sz w:val="22"/>
                <w:szCs w:val="22"/>
              </w:rPr>
              <w:t>0.966</w:t>
            </w:r>
          </w:p>
        </w:tc>
      </w:tr>
      <w:tr w:rsidR="00A46670" w:rsidRPr="00A46670" w14:paraId="1CC1966B" w14:textId="77777777" w:rsidTr="00A46670">
        <w:trPr>
          <w:trHeight w:val="300"/>
          <w:jc w:val="center"/>
        </w:trPr>
        <w:tc>
          <w:tcPr>
            <w:tcW w:w="1160" w:type="dxa"/>
            <w:tcBorders>
              <w:top w:val="nil"/>
              <w:left w:val="single" w:sz="4" w:space="0" w:color="auto"/>
              <w:bottom w:val="nil"/>
              <w:right w:val="nil"/>
            </w:tcBorders>
            <w:shd w:val="clear" w:color="auto" w:fill="auto"/>
            <w:noWrap/>
            <w:vAlign w:val="center"/>
            <w:hideMark/>
          </w:tcPr>
          <w:p w14:paraId="58D61C30" w14:textId="77777777" w:rsidR="00A46670" w:rsidRPr="00A46670" w:rsidRDefault="00A46670" w:rsidP="00A46670">
            <w:pPr>
              <w:spacing w:after="0"/>
              <w:ind w:firstLineChars="100" w:firstLine="220"/>
              <w:rPr>
                <w:rFonts w:eastAsia="Times New Roman" w:cs="Calibri"/>
                <w:color w:val="000000"/>
                <w:sz w:val="22"/>
                <w:szCs w:val="22"/>
              </w:rPr>
            </w:pPr>
            <w:r w:rsidRPr="00A46670">
              <w:rPr>
                <w:rFonts w:eastAsia="Times New Roman" w:cs="Calibri"/>
                <w:color w:val="000000"/>
                <w:sz w:val="22"/>
                <w:szCs w:val="22"/>
              </w:rPr>
              <w:t>17</w:t>
            </w:r>
          </w:p>
        </w:tc>
        <w:tc>
          <w:tcPr>
            <w:tcW w:w="1266" w:type="dxa"/>
            <w:tcBorders>
              <w:top w:val="nil"/>
              <w:left w:val="single" w:sz="4" w:space="0" w:color="auto"/>
              <w:bottom w:val="nil"/>
              <w:right w:val="single" w:sz="4" w:space="0" w:color="auto"/>
            </w:tcBorders>
            <w:shd w:val="clear" w:color="auto" w:fill="auto"/>
            <w:noWrap/>
            <w:vAlign w:val="center"/>
            <w:hideMark/>
          </w:tcPr>
          <w:p w14:paraId="29044D28"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0.965</w:t>
            </w:r>
          </w:p>
        </w:tc>
        <w:tc>
          <w:tcPr>
            <w:tcW w:w="869" w:type="dxa"/>
            <w:tcBorders>
              <w:top w:val="nil"/>
              <w:left w:val="nil"/>
              <w:bottom w:val="nil"/>
              <w:right w:val="nil"/>
            </w:tcBorders>
            <w:shd w:val="clear" w:color="auto" w:fill="auto"/>
            <w:noWrap/>
            <w:vAlign w:val="center"/>
            <w:hideMark/>
          </w:tcPr>
          <w:p w14:paraId="2510CAB4"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0.949</w:t>
            </w:r>
          </w:p>
        </w:tc>
        <w:tc>
          <w:tcPr>
            <w:tcW w:w="869" w:type="dxa"/>
            <w:tcBorders>
              <w:top w:val="nil"/>
              <w:left w:val="single" w:sz="4" w:space="0" w:color="auto"/>
              <w:bottom w:val="nil"/>
              <w:right w:val="single" w:sz="4" w:space="0" w:color="auto"/>
            </w:tcBorders>
            <w:shd w:val="clear" w:color="auto" w:fill="auto"/>
            <w:noWrap/>
            <w:vAlign w:val="center"/>
            <w:hideMark/>
          </w:tcPr>
          <w:p w14:paraId="103D26B2"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0.949</w:t>
            </w:r>
          </w:p>
        </w:tc>
        <w:tc>
          <w:tcPr>
            <w:tcW w:w="869" w:type="dxa"/>
            <w:tcBorders>
              <w:top w:val="nil"/>
              <w:left w:val="nil"/>
              <w:bottom w:val="nil"/>
              <w:right w:val="nil"/>
            </w:tcBorders>
            <w:shd w:val="clear" w:color="auto" w:fill="auto"/>
            <w:noWrap/>
            <w:vAlign w:val="center"/>
            <w:hideMark/>
          </w:tcPr>
          <w:p w14:paraId="15024333"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0.973</w:t>
            </w:r>
          </w:p>
        </w:tc>
        <w:tc>
          <w:tcPr>
            <w:tcW w:w="1205" w:type="dxa"/>
            <w:tcBorders>
              <w:top w:val="nil"/>
              <w:left w:val="single" w:sz="4" w:space="0" w:color="auto"/>
              <w:bottom w:val="nil"/>
              <w:right w:val="single" w:sz="4" w:space="0" w:color="auto"/>
            </w:tcBorders>
            <w:shd w:val="clear" w:color="auto" w:fill="auto"/>
            <w:noWrap/>
            <w:vAlign w:val="center"/>
            <w:hideMark/>
          </w:tcPr>
          <w:p w14:paraId="12D8A86A"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0.949</w:t>
            </w:r>
          </w:p>
        </w:tc>
      </w:tr>
      <w:tr w:rsidR="00A46670" w:rsidRPr="00A46670" w14:paraId="3263ADD8" w14:textId="77777777" w:rsidTr="00A46670">
        <w:trPr>
          <w:trHeight w:val="300"/>
          <w:jc w:val="center"/>
        </w:trPr>
        <w:tc>
          <w:tcPr>
            <w:tcW w:w="1160" w:type="dxa"/>
            <w:tcBorders>
              <w:top w:val="nil"/>
              <w:left w:val="single" w:sz="4" w:space="0" w:color="auto"/>
              <w:bottom w:val="single" w:sz="4" w:space="0" w:color="auto"/>
              <w:right w:val="nil"/>
            </w:tcBorders>
            <w:shd w:val="clear" w:color="auto" w:fill="auto"/>
            <w:noWrap/>
            <w:vAlign w:val="center"/>
            <w:hideMark/>
          </w:tcPr>
          <w:p w14:paraId="49B44B48" w14:textId="77777777" w:rsidR="00A46670" w:rsidRPr="00A46670" w:rsidRDefault="00A46670" w:rsidP="00A46670">
            <w:pPr>
              <w:spacing w:after="0"/>
              <w:ind w:firstLineChars="100" w:firstLine="220"/>
              <w:rPr>
                <w:rFonts w:eastAsia="Times New Roman" w:cs="Calibri"/>
                <w:color w:val="000000"/>
                <w:sz w:val="22"/>
                <w:szCs w:val="22"/>
              </w:rPr>
            </w:pPr>
            <w:r w:rsidRPr="00A46670">
              <w:rPr>
                <w:rFonts w:eastAsia="Times New Roman" w:cs="Calibri"/>
                <w:color w:val="000000"/>
                <w:sz w:val="22"/>
                <w:szCs w:val="22"/>
              </w:rPr>
              <w:t>33</w:t>
            </w:r>
          </w:p>
        </w:tc>
        <w:tc>
          <w:tcPr>
            <w:tcW w:w="1266" w:type="dxa"/>
            <w:tcBorders>
              <w:top w:val="nil"/>
              <w:left w:val="single" w:sz="4" w:space="0" w:color="auto"/>
              <w:bottom w:val="single" w:sz="4" w:space="0" w:color="auto"/>
              <w:right w:val="single" w:sz="4" w:space="0" w:color="auto"/>
            </w:tcBorders>
            <w:shd w:val="clear" w:color="auto" w:fill="auto"/>
            <w:noWrap/>
            <w:vAlign w:val="center"/>
            <w:hideMark/>
          </w:tcPr>
          <w:p w14:paraId="24B8DCC7"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0.965</w:t>
            </w:r>
          </w:p>
        </w:tc>
        <w:tc>
          <w:tcPr>
            <w:tcW w:w="869" w:type="dxa"/>
            <w:tcBorders>
              <w:top w:val="nil"/>
              <w:left w:val="nil"/>
              <w:bottom w:val="single" w:sz="4" w:space="0" w:color="auto"/>
              <w:right w:val="nil"/>
            </w:tcBorders>
            <w:shd w:val="clear" w:color="auto" w:fill="auto"/>
            <w:noWrap/>
            <w:vAlign w:val="center"/>
            <w:hideMark/>
          </w:tcPr>
          <w:p w14:paraId="62FA8D0A"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0.949</w:t>
            </w:r>
          </w:p>
        </w:tc>
        <w:tc>
          <w:tcPr>
            <w:tcW w:w="869" w:type="dxa"/>
            <w:tcBorders>
              <w:top w:val="nil"/>
              <w:left w:val="single" w:sz="4" w:space="0" w:color="auto"/>
              <w:bottom w:val="single" w:sz="4" w:space="0" w:color="auto"/>
              <w:right w:val="single" w:sz="4" w:space="0" w:color="auto"/>
            </w:tcBorders>
            <w:shd w:val="clear" w:color="auto" w:fill="auto"/>
            <w:noWrap/>
            <w:vAlign w:val="center"/>
            <w:hideMark/>
          </w:tcPr>
          <w:p w14:paraId="4101B52A"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0.949</w:t>
            </w:r>
          </w:p>
        </w:tc>
        <w:tc>
          <w:tcPr>
            <w:tcW w:w="869" w:type="dxa"/>
            <w:tcBorders>
              <w:top w:val="nil"/>
              <w:left w:val="nil"/>
              <w:bottom w:val="single" w:sz="4" w:space="0" w:color="auto"/>
              <w:right w:val="nil"/>
            </w:tcBorders>
            <w:shd w:val="clear" w:color="auto" w:fill="auto"/>
            <w:noWrap/>
            <w:vAlign w:val="center"/>
            <w:hideMark/>
          </w:tcPr>
          <w:p w14:paraId="798FE1BF"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0.973</w:t>
            </w:r>
          </w:p>
        </w:tc>
        <w:tc>
          <w:tcPr>
            <w:tcW w:w="1205" w:type="dxa"/>
            <w:tcBorders>
              <w:top w:val="nil"/>
              <w:left w:val="single" w:sz="4" w:space="0" w:color="auto"/>
              <w:bottom w:val="single" w:sz="4" w:space="0" w:color="auto"/>
              <w:right w:val="single" w:sz="4" w:space="0" w:color="auto"/>
            </w:tcBorders>
            <w:shd w:val="clear" w:color="auto" w:fill="auto"/>
            <w:noWrap/>
            <w:vAlign w:val="center"/>
            <w:hideMark/>
          </w:tcPr>
          <w:p w14:paraId="1FD46642" w14:textId="77777777" w:rsidR="00A46670" w:rsidRPr="00A46670" w:rsidRDefault="00A46670" w:rsidP="00A46670">
            <w:pPr>
              <w:spacing w:after="0"/>
              <w:jc w:val="center"/>
              <w:rPr>
                <w:rFonts w:eastAsia="Times New Roman" w:cs="Calibri"/>
                <w:color w:val="000000"/>
                <w:sz w:val="22"/>
                <w:szCs w:val="22"/>
              </w:rPr>
            </w:pPr>
            <w:r w:rsidRPr="00A46670">
              <w:rPr>
                <w:rFonts w:eastAsia="Times New Roman" w:cs="Calibri"/>
                <w:color w:val="000000"/>
                <w:sz w:val="22"/>
                <w:szCs w:val="22"/>
              </w:rPr>
              <w:t>0.949</w:t>
            </w:r>
          </w:p>
        </w:tc>
      </w:tr>
    </w:tbl>
    <w:p w14:paraId="60429E42" w14:textId="5EE1B17C" w:rsidR="00A46670" w:rsidRDefault="00A46670" w:rsidP="00E97C58"/>
    <w:p w14:paraId="1362BCCA" w14:textId="219D1A3E" w:rsidR="00BE4EB3" w:rsidRDefault="00AD5FCB" w:rsidP="00E97C58">
      <w:r>
        <w:t xml:space="preserve">From these values calculated and the previous Figure, </w:t>
      </w:r>
      <w:r w:rsidR="00FA040D">
        <w:t xml:space="preserve">a value of 8 is chosen as ideal for the </w:t>
      </w:r>
      <w:r w:rsidR="00FA040D">
        <w:rPr>
          <w:i/>
        </w:rPr>
        <w:t>k</w:t>
      </w:r>
      <w:r w:rsidR="0020371B">
        <w:t xml:space="preserve">-value error rate is lowest, which introduces the </w:t>
      </w:r>
      <w:r w:rsidR="00B619A5">
        <w:t>smallest</w:t>
      </w:r>
      <w:r w:rsidR="0020371B">
        <w:t xml:space="preserve"> false positive and negative</w:t>
      </w:r>
      <w:r w:rsidR="0031289A">
        <w:t xml:space="preserve"> values, which results in the confusion matrix provided in the following Table.</w:t>
      </w:r>
    </w:p>
    <w:p w14:paraId="23049158" w14:textId="77777777" w:rsidR="00E2140E" w:rsidRDefault="00E2140E" w:rsidP="00E97C58"/>
    <w:p w14:paraId="038FF543" w14:textId="45B8E936" w:rsidR="008E488E" w:rsidRDefault="008E488E" w:rsidP="008E488E">
      <w:pPr>
        <w:pStyle w:val="Caption"/>
        <w:keepNext/>
        <w:jc w:val="center"/>
      </w:pPr>
      <w:r>
        <w:t xml:space="preserve">Table </w:t>
      </w:r>
      <w:r>
        <w:fldChar w:fldCharType="begin"/>
      </w:r>
      <w:r>
        <w:instrText xml:space="preserve"> SEQ Table \* ARABIC </w:instrText>
      </w:r>
      <w:r>
        <w:fldChar w:fldCharType="separate"/>
      </w:r>
      <w:r>
        <w:rPr>
          <w:noProof/>
        </w:rPr>
        <w:t>5</w:t>
      </w:r>
      <w:r>
        <w:fldChar w:fldCharType="end"/>
      </w:r>
      <w:r>
        <w:t xml:space="preserve">: </w:t>
      </w:r>
      <w:r>
        <w:t xml:space="preserve">Confusion matrix for 60%-40% random split using </w:t>
      </w:r>
      <w:r>
        <w:t>eight</w:t>
      </w:r>
      <w:r>
        <w:t xml:space="preserve"> nearest neighbors.</w:t>
      </w:r>
    </w:p>
    <w:tbl>
      <w:tblPr>
        <w:tblStyle w:val="TableGrid"/>
        <w:tblW w:w="0" w:type="auto"/>
        <w:jc w:val="center"/>
        <w:tblLayout w:type="fixed"/>
        <w:tblLook w:val="04A0" w:firstRow="1" w:lastRow="0" w:firstColumn="1" w:lastColumn="0" w:noHBand="0" w:noVBand="1"/>
      </w:tblPr>
      <w:tblGrid>
        <w:gridCol w:w="1571"/>
        <w:gridCol w:w="1056"/>
        <w:gridCol w:w="1377"/>
      </w:tblGrid>
      <w:tr w:rsidR="00823717" w14:paraId="0CE102A6" w14:textId="77777777" w:rsidTr="00B72C48">
        <w:trPr>
          <w:jc w:val="center"/>
        </w:trPr>
        <w:tc>
          <w:tcPr>
            <w:tcW w:w="1571" w:type="dxa"/>
            <w:tcBorders>
              <w:top w:val="nil"/>
              <w:left w:val="nil"/>
            </w:tcBorders>
          </w:tcPr>
          <w:p w14:paraId="774D552D" w14:textId="77777777" w:rsidR="00823717" w:rsidRDefault="00823717" w:rsidP="00B72C48">
            <w:pPr>
              <w:pStyle w:val="NormalWeb"/>
              <w:rPr>
                <w:rFonts w:ascii="OpenSymbol" w:hAnsi="OpenSymbol"/>
              </w:rPr>
            </w:pPr>
          </w:p>
        </w:tc>
        <w:tc>
          <w:tcPr>
            <w:tcW w:w="2433" w:type="dxa"/>
            <w:gridSpan w:val="2"/>
            <w:vAlign w:val="center"/>
          </w:tcPr>
          <w:p w14:paraId="6CC99834" w14:textId="77777777" w:rsidR="00823717" w:rsidRPr="00D5665C" w:rsidRDefault="00823717" w:rsidP="00B72C48">
            <w:pPr>
              <w:pStyle w:val="NormalWeb"/>
              <w:jc w:val="center"/>
              <w:rPr>
                <w:rFonts w:ascii="OpenSymbol" w:hAnsi="OpenSymbol"/>
                <w:b/>
              </w:rPr>
            </w:pPr>
            <w:r w:rsidRPr="00D5665C">
              <w:rPr>
                <w:rFonts w:ascii="OpenSymbol" w:hAnsi="OpenSymbol"/>
                <w:b/>
              </w:rPr>
              <w:t>Predicted Values</w:t>
            </w:r>
          </w:p>
        </w:tc>
      </w:tr>
      <w:tr w:rsidR="00823717" w14:paraId="36CDC148" w14:textId="77777777" w:rsidTr="00B72C48">
        <w:trPr>
          <w:trHeight w:val="377"/>
          <w:jc w:val="center"/>
        </w:trPr>
        <w:tc>
          <w:tcPr>
            <w:tcW w:w="1571" w:type="dxa"/>
            <w:vAlign w:val="center"/>
          </w:tcPr>
          <w:p w14:paraId="2F2F423E" w14:textId="77777777" w:rsidR="00823717" w:rsidRPr="00D5665C" w:rsidRDefault="00823717" w:rsidP="00B72C48">
            <w:pPr>
              <w:pStyle w:val="NormalWeb"/>
              <w:jc w:val="right"/>
              <w:rPr>
                <w:rFonts w:ascii="OpenSymbol" w:hAnsi="OpenSymbol"/>
                <w:b/>
              </w:rPr>
            </w:pPr>
            <w:r w:rsidRPr="00D5665C">
              <w:rPr>
                <w:rFonts w:ascii="OpenSymbol" w:hAnsi="OpenSymbol"/>
                <w:b/>
              </w:rPr>
              <w:t>True Values</w:t>
            </w:r>
          </w:p>
        </w:tc>
        <w:tc>
          <w:tcPr>
            <w:tcW w:w="1056" w:type="dxa"/>
            <w:tcBorders>
              <w:bottom w:val="double" w:sz="4" w:space="0" w:color="auto"/>
            </w:tcBorders>
            <w:vAlign w:val="center"/>
          </w:tcPr>
          <w:p w14:paraId="430D173F" w14:textId="77777777" w:rsidR="00823717" w:rsidRPr="00DB2B39" w:rsidRDefault="00823717" w:rsidP="00B72C48">
            <w:pPr>
              <w:pStyle w:val="NormalWeb"/>
              <w:jc w:val="center"/>
              <w:rPr>
                <w:rFonts w:ascii="OpenSymbol" w:hAnsi="OpenSymbol"/>
                <w:i/>
              </w:rPr>
            </w:pPr>
            <w:r w:rsidRPr="00DB2B39">
              <w:rPr>
                <w:rFonts w:ascii="OpenSymbol" w:hAnsi="OpenSymbol"/>
                <w:i/>
              </w:rPr>
              <w:t>Benign</w:t>
            </w:r>
          </w:p>
        </w:tc>
        <w:tc>
          <w:tcPr>
            <w:tcW w:w="1377" w:type="dxa"/>
            <w:tcBorders>
              <w:bottom w:val="double" w:sz="4" w:space="0" w:color="auto"/>
            </w:tcBorders>
            <w:vAlign w:val="center"/>
          </w:tcPr>
          <w:p w14:paraId="684193BE" w14:textId="77777777" w:rsidR="00823717" w:rsidRPr="00DB2B39" w:rsidRDefault="00823717" w:rsidP="00B72C48">
            <w:pPr>
              <w:pStyle w:val="NormalWeb"/>
              <w:jc w:val="center"/>
              <w:rPr>
                <w:rFonts w:ascii="OpenSymbol" w:hAnsi="OpenSymbol"/>
                <w:i/>
              </w:rPr>
            </w:pPr>
            <w:r w:rsidRPr="00DB2B39">
              <w:rPr>
                <w:rFonts w:ascii="OpenSymbol" w:hAnsi="OpenSymbol"/>
                <w:i/>
              </w:rPr>
              <w:t>Malignant</w:t>
            </w:r>
          </w:p>
        </w:tc>
      </w:tr>
      <w:tr w:rsidR="00823717" w14:paraId="166440A8" w14:textId="77777777" w:rsidTr="00B72C48">
        <w:trPr>
          <w:trHeight w:val="330"/>
          <w:jc w:val="center"/>
        </w:trPr>
        <w:tc>
          <w:tcPr>
            <w:tcW w:w="1571" w:type="dxa"/>
            <w:tcBorders>
              <w:right w:val="double" w:sz="4" w:space="0" w:color="auto"/>
            </w:tcBorders>
            <w:vAlign w:val="center"/>
          </w:tcPr>
          <w:p w14:paraId="0E7CB828" w14:textId="77777777" w:rsidR="00823717" w:rsidRPr="00DB2B39" w:rsidRDefault="00823717" w:rsidP="00B72C48">
            <w:pPr>
              <w:pStyle w:val="NormalWeb"/>
              <w:jc w:val="right"/>
              <w:rPr>
                <w:rFonts w:ascii="OpenSymbol" w:hAnsi="OpenSymbol"/>
                <w:i/>
              </w:rPr>
            </w:pPr>
            <w:r w:rsidRPr="00DB2B39">
              <w:rPr>
                <w:rFonts w:ascii="OpenSymbol" w:hAnsi="OpenSymbol"/>
                <w:i/>
              </w:rPr>
              <w:t>Benign</w:t>
            </w:r>
          </w:p>
        </w:tc>
        <w:tc>
          <w:tcPr>
            <w:tcW w:w="1056" w:type="dxa"/>
            <w:tcBorders>
              <w:top w:val="double" w:sz="4" w:space="0" w:color="auto"/>
              <w:left w:val="double" w:sz="4" w:space="0" w:color="auto"/>
            </w:tcBorders>
            <w:vAlign w:val="center"/>
          </w:tcPr>
          <w:p w14:paraId="61B19791" w14:textId="5702E1E8" w:rsidR="00823717" w:rsidRDefault="00823717" w:rsidP="00B72C48">
            <w:pPr>
              <w:pStyle w:val="NormalWeb"/>
              <w:jc w:val="center"/>
              <w:rPr>
                <w:rFonts w:ascii="OpenSymbol" w:hAnsi="OpenSymbol"/>
              </w:rPr>
            </w:pPr>
            <w:r>
              <w:rPr>
                <w:rFonts w:ascii="OpenSymbol" w:hAnsi="OpenSymbol"/>
              </w:rPr>
              <w:t>221</w:t>
            </w:r>
          </w:p>
        </w:tc>
        <w:tc>
          <w:tcPr>
            <w:tcW w:w="1377" w:type="dxa"/>
            <w:tcBorders>
              <w:top w:val="double" w:sz="4" w:space="0" w:color="auto"/>
            </w:tcBorders>
            <w:vAlign w:val="center"/>
          </w:tcPr>
          <w:p w14:paraId="751088FD" w14:textId="77777777" w:rsidR="00823717" w:rsidRDefault="00823717" w:rsidP="00B72C48">
            <w:pPr>
              <w:pStyle w:val="NormalWeb"/>
              <w:jc w:val="center"/>
              <w:rPr>
                <w:rFonts w:ascii="OpenSymbol" w:hAnsi="OpenSymbol"/>
              </w:rPr>
            </w:pPr>
            <w:r>
              <w:rPr>
                <w:rFonts w:ascii="OpenSymbol" w:hAnsi="OpenSymbol"/>
              </w:rPr>
              <w:t>6</w:t>
            </w:r>
          </w:p>
        </w:tc>
      </w:tr>
      <w:tr w:rsidR="00823717" w14:paraId="4D999EE1" w14:textId="77777777" w:rsidTr="00B72C48">
        <w:trPr>
          <w:trHeight w:val="359"/>
          <w:jc w:val="center"/>
        </w:trPr>
        <w:tc>
          <w:tcPr>
            <w:tcW w:w="1571" w:type="dxa"/>
            <w:tcBorders>
              <w:right w:val="double" w:sz="4" w:space="0" w:color="auto"/>
            </w:tcBorders>
            <w:vAlign w:val="center"/>
          </w:tcPr>
          <w:p w14:paraId="1F11327E" w14:textId="77777777" w:rsidR="00823717" w:rsidRPr="00DB2B39" w:rsidRDefault="00823717" w:rsidP="00B72C48">
            <w:pPr>
              <w:pStyle w:val="NormalWeb"/>
              <w:jc w:val="right"/>
              <w:rPr>
                <w:rFonts w:ascii="OpenSymbol" w:hAnsi="OpenSymbol"/>
                <w:i/>
              </w:rPr>
            </w:pPr>
            <w:r w:rsidRPr="00DB2B39">
              <w:rPr>
                <w:rFonts w:ascii="OpenSymbol" w:hAnsi="OpenSymbol"/>
                <w:i/>
              </w:rPr>
              <w:t>Malignant</w:t>
            </w:r>
          </w:p>
        </w:tc>
        <w:tc>
          <w:tcPr>
            <w:tcW w:w="1056" w:type="dxa"/>
            <w:tcBorders>
              <w:left w:val="double" w:sz="4" w:space="0" w:color="auto"/>
            </w:tcBorders>
            <w:vAlign w:val="center"/>
          </w:tcPr>
          <w:p w14:paraId="71CACDDC" w14:textId="222C218D" w:rsidR="00823717" w:rsidRDefault="00823717" w:rsidP="00B72C48">
            <w:pPr>
              <w:pStyle w:val="NormalWeb"/>
              <w:jc w:val="center"/>
              <w:rPr>
                <w:rFonts w:ascii="OpenSymbol" w:hAnsi="OpenSymbol"/>
              </w:rPr>
            </w:pPr>
            <w:r>
              <w:rPr>
                <w:rFonts w:ascii="OpenSymbol" w:hAnsi="OpenSymbol"/>
              </w:rPr>
              <w:t>2</w:t>
            </w:r>
          </w:p>
        </w:tc>
        <w:tc>
          <w:tcPr>
            <w:tcW w:w="1377" w:type="dxa"/>
            <w:vAlign w:val="center"/>
          </w:tcPr>
          <w:p w14:paraId="0C4852B5" w14:textId="67685C21" w:rsidR="00823717" w:rsidRDefault="00823717" w:rsidP="00B72C48">
            <w:pPr>
              <w:pStyle w:val="NormalWeb"/>
              <w:jc w:val="center"/>
              <w:rPr>
                <w:rFonts w:ascii="OpenSymbol" w:hAnsi="OpenSymbol"/>
              </w:rPr>
            </w:pPr>
            <w:r>
              <w:rPr>
                <w:rFonts w:ascii="OpenSymbol" w:hAnsi="OpenSymbol"/>
              </w:rPr>
              <w:t>112</w:t>
            </w:r>
          </w:p>
        </w:tc>
      </w:tr>
    </w:tbl>
    <w:p w14:paraId="77014B7D" w14:textId="4222B083" w:rsidR="00762514" w:rsidRPr="00FA040D" w:rsidRDefault="00762514" w:rsidP="00E97C58"/>
    <w:p w14:paraId="7F45AD69" w14:textId="4965FDA6" w:rsidR="00B8369A" w:rsidRDefault="00B8369A" w:rsidP="00B8369A">
      <w:pPr>
        <w:pStyle w:val="Heading2"/>
      </w:pPr>
      <w:r>
        <w:t>3.2 Decision Tree Analysis</w:t>
      </w:r>
    </w:p>
    <w:p w14:paraId="68C09282" w14:textId="14A41DF1" w:rsidR="00C25FA3" w:rsidRDefault="00841282" w:rsidP="00C25FA3">
      <w:r>
        <w:t>L</w:t>
      </w:r>
    </w:p>
    <w:p w14:paraId="771D7645" w14:textId="7898673E" w:rsidR="00841282" w:rsidRDefault="00841282" w:rsidP="00841282">
      <w:pPr>
        <w:pStyle w:val="Heading2"/>
      </w:pPr>
      <w:r>
        <w:t>3.3</w:t>
      </w:r>
      <w:r>
        <w:t xml:space="preserve"> </w:t>
      </w:r>
      <w:r>
        <w:t>Dimensionality Reduction Analysis</w:t>
      </w:r>
    </w:p>
    <w:p w14:paraId="09BD9B0E" w14:textId="77777777" w:rsidR="00A56F66" w:rsidRPr="00A56F66" w:rsidRDefault="00A56F66" w:rsidP="00A56F66">
      <w:bookmarkStart w:id="3" w:name="_GoBack"/>
      <w:bookmarkEnd w:id="3"/>
    </w:p>
    <w:p w14:paraId="64584A45" w14:textId="77777777" w:rsidR="00841282" w:rsidRPr="00C25FA3" w:rsidRDefault="00841282" w:rsidP="00C25FA3"/>
    <w:sectPr w:rsidR="00841282" w:rsidRPr="00C25FA3">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70894B" w14:textId="77777777" w:rsidR="0049042D" w:rsidRDefault="0049042D" w:rsidP="0085283C">
      <w:pPr>
        <w:spacing w:after="0"/>
      </w:pPr>
      <w:r>
        <w:separator/>
      </w:r>
    </w:p>
  </w:endnote>
  <w:endnote w:type="continuationSeparator" w:id="0">
    <w:p w14:paraId="5C735868" w14:textId="77777777" w:rsidR="0049042D" w:rsidRDefault="0049042D" w:rsidP="008528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20B0604020202020204"/>
    <w:charset w:val="00"/>
    <w:family w:val="roman"/>
    <w:notTrueType/>
    <w:pitch w:val="default"/>
  </w:font>
  <w:font w:name="OpenSymbol">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1909844"/>
      <w:docPartObj>
        <w:docPartGallery w:val="Page Numbers (Bottom of Page)"/>
        <w:docPartUnique/>
      </w:docPartObj>
    </w:sdtPr>
    <w:sdtContent>
      <w:sdt>
        <w:sdtPr>
          <w:id w:val="-1769616900"/>
          <w:docPartObj>
            <w:docPartGallery w:val="Page Numbers (Top of Page)"/>
            <w:docPartUnique/>
          </w:docPartObj>
        </w:sdtPr>
        <w:sdtContent>
          <w:p w14:paraId="3E66A2F4" w14:textId="7296A485" w:rsidR="0039388F" w:rsidRDefault="0039388F">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6</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7</w:t>
            </w:r>
            <w:r>
              <w:rPr>
                <w:b/>
                <w:bCs/>
              </w:rPr>
              <w:fldChar w:fldCharType="end"/>
            </w:r>
          </w:p>
        </w:sdtContent>
      </w:sdt>
    </w:sdtContent>
  </w:sdt>
  <w:p w14:paraId="35093B2C" w14:textId="77777777" w:rsidR="0039388F" w:rsidRDefault="003938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DCC331" w14:textId="77777777" w:rsidR="0049042D" w:rsidRDefault="0049042D" w:rsidP="0085283C">
      <w:pPr>
        <w:spacing w:after="0"/>
      </w:pPr>
      <w:r>
        <w:separator/>
      </w:r>
    </w:p>
  </w:footnote>
  <w:footnote w:type="continuationSeparator" w:id="0">
    <w:p w14:paraId="52D90D0C" w14:textId="77777777" w:rsidR="0049042D" w:rsidRDefault="0049042D" w:rsidP="008528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E07E0"/>
    <w:multiLevelType w:val="hybridMultilevel"/>
    <w:tmpl w:val="84682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23463"/>
    <w:multiLevelType w:val="hybridMultilevel"/>
    <w:tmpl w:val="EAD0A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769EC"/>
    <w:multiLevelType w:val="multilevel"/>
    <w:tmpl w:val="A0D0CB72"/>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BE8061A"/>
    <w:multiLevelType w:val="hybridMultilevel"/>
    <w:tmpl w:val="7B3AC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DB3E8F"/>
    <w:multiLevelType w:val="multilevel"/>
    <w:tmpl w:val="6FA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435E5D"/>
    <w:multiLevelType w:val="multilevel"/>
    <w:tmpl w:val="B75E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F003D1"/>
    <w:multiLevelType w:val="hybridMultilevel"/>
    <w:tmpl w:val="548A9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A815F4"/>
    <w:multiLevelType w:val="hybridMultilevel"/>
    <w:tmpl w:val="630AC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E959B2"/>
    <w:multiLevelType w:val="hybridMultilevel"/>
    <w:tmpl w:val="9D5690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216D39"/>
    <w:multiLevelType w:val="hybridMultilevel"/>
    <w:tmpl w:val="A510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3218E0"/>
    <w:multiLevelType w:val="hybridMultilevel"/>
    <w:tmpl w:val="9F364864"/>
    <w:lvl w:ilvl="0" w:tplc="1804D226">
      <w:start w:val="1"/>
      <w:numFmt w:val="decimal"/>
      <w:lvlText w:val="%1."/>
      <w:lvlJc w:val="left"/>
      <w:pPr>
        <w:ind w:left="810" w:hanging="360"/>
      </w:pPr>
      <w:rPr>
        <w:b/>
      </w:rPr>
    </w:lvl>
    <w:lvl w:ilvl="1" w:tplc="7DB85868">
      <w:start w:val="1"/>
      <w:numFmt w:val="lowerLetter"/>
      <w:lvlText w:val="%2."/>
      <w:lvlJc w:val="left"/>
      <w:pPr>
        <w:ind w:left="1530" w:hanging="360"/>
      </w:pPr>
      <w:rPr>
        <w:b/>
      </w:r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6"/>
  </w:num>
  <w:num w:numId="2">
    <w:abstractNumId w:val="8"/>
  </w:num>
  <w:num w:numId="3">
    <w:abstractNumId w:val="3"/>
  </w:num>
  <w:num w:numId="4">
    <w:abstractNumId w:val="1"/>
  </w:num>
  <w:num w:numId="5">
    <w:abstractNumId w:val="9"/>
  </w:num>
  <w:num w:numId="6">
    <w:abstractNumId w:val="10"/>
  </w:num>
  <w:num w:numId="7">
    <w:abstractNumId w:val="2"/>
  </w:num>
  <w:num w:numId="8">
    <w:abstractNumId w:val="7"/>
  </w:num>
  <w:num w:numId="9">
    <w:abstractNumId w:val="0"/>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2536"/>
    <w:rsid w:val="00001FE7"/>
    <w:rsid w:val="00021163"/>
    <w:rsid w:val="00021F5A"/>
    <w:rsid w:val="0003099F"/>
    <w:rsid w:val="000469A2"/>
    <w:rsid w:val="000513E6"/>
    <w:rsid w:val="00053490"/>
    <w:rsid w:val="00054DC1"/>
    <w:rsid w:val="000609CF"/>
    <w:rsid w:val="00065E1D"/>
    <w:rsid w:val="00066CDC"/>
    <w:rsid w:val="00067EF9"/>
    <w:rsid w:val="0007054E"/>
    <w:rsid w:val="00074D48"/>
    <w:rsid w:val="00077401"/>
    <w:rsid w:val="00077C7E"/>
    <w:rsid w:val="0009051B"/>
    <w:rsid w:val="00095856"/>
    <w:rsid w:val="000B50E8"/>
    <w:rsid w:val="000C1464"/>
    <w:rsid w:val="000C1701"/>
    <w:rsid w:val="000D362B"/>
    <w:rsid w:val="000E3D6D"/>
    <w:rsid w:val="000E561F"/>
    <w:rsid w:val="000E6CE2"/>
    <w:rsid w:val="000E7C66"/>
    <w:rsid w:val="000F3566"/>
    <w:rsid w:val="000F5FAB"/>
    <w:rsid w:val="000F7850"/>
    <w:rsid w:val="00102938"/>
    <w:rsid w:val="00107F23"/>
    <w:rsid w:val="00110951"/>
    <w:rsid w:val="001323AF"/>
    <w:rsid w:val="00134C88"/>
    <w:rsid w:val="00142E31"/>
    <w:rsid w:val="00153E2D"/>
    <w:rsid w:val="001600B4"/>
    <w:rsid w:val="001612FD"/>
    <w:rsid w:val="001633DA"/>
    <w:rsid w:val="001636F5"/>
    <w:rsid w:val="001A4451"/>
    <w:rsid w:val="001B4C65"/>
    <w:rsid w:val="001B6CF6"/>
    <w:rsid w:val="001C24CC"/>
    <w:rsid w:val="001D1289"/>
    <w:rsid w:val="001D74BA"/>
    <w:rsid w:val="001E0FA0"/>
    <w:rsid w:val="001E2378"/>
    <w:rsid w:val="001E6CFC"/>
    <w:rsid w:val="001F1BF7"/>
    <w:rsid w:val="0020163F"/>
    <w:rsid w:val="0020371B"/>
    <w:rsid w:val="00210E12"/>
    <w:rsid w:val="00212CC9"/>
    <w:rsid w:val="00214250"/>
    <w:rsid w:val="00214D7A"/>
    <w:rsid w:val="00215C2D"/>
    <w:rsid w:val="00225664"/>
    <w:rsid w:val="00233516"/>
    <w:rsid w:val="00233C7A"/>
    <w:rsid w:val="00244720"/>
    <w:rsid w:val="00255D2F"/>
    <w:rsid w:val="002573C4"/>
    <w:rsid w:val="002606CA"/>
    <w:rsid w:val="00261CE7"/>
    <w:rsid w:val="002651E3"/>
    <w:rsid w:val="00270C1F"/>
    <w:rsid w:val="00281016"/>
    <w:rsid w:val="00283AE2"/>
    <w:rsid w:val="00284BAE"/>
    <w:rsid w:val="00285782"/>
    <w:rsid w:val="00295905"/>
    <w:rsid w:val="00295AEF"/>
    <w:rsid w:val="002B019D"/>
    <w:rsid w:val="002B752F"/>
    <w:rsid w:val="002C70CF"/>
    <w:rsid w:val="002D2553"/>
    <w:rsid w:val="002D5E10"/>
    <w:rsid w:val="002D5F07"/>
    <w:rsid w:val="002E4408"/>
    <w:rsid w:val="002F1793"/>
    <w:rsid w:val="0031289A"/>
    <w:rsid w:val="00316CA4"/>
    <w:rsid w:val="003174CA"/>
    <w:rsid w:val="00325356"/>
    <w:rsid w:val="0032648C"/>
    <w:rsid w:val="003268B4"/>
    <w:rsid w:val="00331409"/>
    <w:rsid w:val="00341E37"/>
    <w:rsid w:val="00342490"/>
    <w:rsid w:val="0034321B"/>
    <w:rsid w:val="00344492"/>
    <w:rsid w:val="003453FB"/>
    <w:rsid w:val="00353F0B"/>
    <w:rsid w:val="00354C57"/>
    <w:rsid w:val="00357622"/>
    <w:rsid w:val="00363B7E"/>
    <w:rsid w:val="00365FE1"/>
    <w:rsid w:val="00374E62"/>
    <w:rsid w:val="00375524"/>
    <w:rsid w:val="00393520"/>
    <w:rsid w:val="0039388F"/>
    <w:rsid w:val="003C4D46"/>
    <w:rsid w:val="003C744C"/>
    <w:rsid w:val="003E3147"/>
    <w:rsid w:val="00426D0A"/>
    <w:rsid w:val="00430FC8"/>
    <w:rsid w:val="00436025"/>
    <w:rsid w:val="00444444"/>
    <w:rsid w:val="00446819"/>
    <w:rsid w:val="004519D0"/>
    <w:rsid w:val="00453C52"/>
    <w:rsid w:val="00456953"/>
    <w:rsid w:val="00456C03"/>
    <w:rsid w:val="00461D07"/>
    <w:rsid w:val="00481EFD"/>
    <w:rsid w:val="00483091"/>
    <w:rsid w:val="0049042D"/>
    <w:rsid w:val="004B09A6"/>
    <w:rsid w:val="004B2D2F"/>
    <w:rsid w:val="004B5332"/>
    <w:rsid w:val="004C774F"/>
    <w:rsid w:val="004D0502"/>
    <w:rsid w:val="004D190A"/>
    <w:rsid w:val="004E1169"/>
    <w:rsid w:val="004E1B82"/>
    <w:rsid w:val="004E3FC9"/>
    <w:rsid w:val="004E4C58"/>
    <w:rsid w:val="0050121B"/>
    <w:rsid w:val="00514596"/>
    <w:rsid w:val="005305DF"/>
    <w:rsid w:val="00543B72"/>
    <w:rsid w:val="00555056"/>
    <w:rsid w:val="00556407"/>
    <w:rsid w:val="00563359"/>
    <w:rsid w:val="00571E98"/>
    <w:rsid w:val="005731F5"/>
    <w:rsid w:val="00577DF1"/>
    <w:rsid w:val="00582CC3"/>
    <w:rsid w:val="0058659F"/>
    <w:rsid w:val="00587C9B"/>
    <w:rsid w:val="005960C3"/>
    <w:rsid w:val="005A30A8"/>
    <w:rsid w:val="005A61D1"/>
    <w:rsid w:val="005B167B"/>
    <w:rsid w:val="005B2669"/>
    <w:rsid w:val="005B5563"/>
    <w:rsid w:val="005C2861"/>
    <w:rsid w:val="005C29FC"/>
    <w:rsid w:val="005C5869"/>
    <w:rsid w:val="005E7EDD"/>
    <w:rsid w:val="006117F6"/>
    <w:rsid w:val="006179CD"/>
    <w:rsid w:val="00620234"/>
    <w:rsid w:val="00643BE3"/>
    <w:rsid w:val="006570D0"/>
    <w:rsid w:val="006572EC"/>
    <w:rsid w:val="006639F8"/>
    <w:rsid w:val="00665FCD"/>
    <w:rsid w:val="00686D69"/>
    <w:rsid w:val="0069010B"/>
    <w:rsid w:val="00693E66"/>
    <w:rsid w:val="00697078"/>
    <w:rsid w:val="00697E70"/>
    <w:rsid w:val="006B2017"/>
    <w:rsid w:val="006B42CC"/>
    <w:rsid w:val="006C311F"/>
    <w:rsid w:val="006D0EA0"/>
    <w:rsid w:val="006D7742"/>
    <w:rsid w:val="006E45D6"/>
    <w:rsid w:val="006E78D3"/>
    <w:rsid w:val="00703830"/>
    <w:rsid w:val="00705EAB"/>
    <w:rsid w:val="00706D11"/>
    <w:rsid w:val="00715E3D"/>
    <w:rsid w:val="0072519C"/>
    <w:rsid w:val="007252BB"/>
    <w:rsid w:val="00725554"/>
    <w:rsid w:val="00727C25"/>
    <w:rsid w:val="00727EE0"/>
    <w:rsid w:val="007307E5"/>
    <w:rsid w:val="007401B2"/>
    <w:rsid w:val="00742A72"/>
    <w:rsid w:val="00756A74"/>
    <w:rsid w:val="00762514"/>
    <w:rsid w:val="00785029"/>
    <w:rsid w:val="007867E2"/>
    <w:rsid w:val="007A70B2"/>
    <w:rsid w:val="007B263F"/>
    <w:rsid w:val="007B30AC"/>
    <w:rsid w:val="007B5D80"/>
    <w:rsid w:val="007C0ECA"/>
    <w:rsid w:val="007C11A7"/>
    <w:rsid w:val="007C592E"/>
    <w:rsid w:val="007D66B8"/>
    <w:rsid w:val="007F084C"/>
    <w:rsid w:val="007F53D1"/>
    <w:rsid w:val="00805A64"/>
    <w:rsid w:val="00816301"/>
    <w:rsid w:val="00820E1E"/>
    <w:rsid w:val="00823717"/>
    <w:rsid w:val="0082602A"/>
    <w:rsid w:val="00826261"/>
    <w:rsid w:val="00841282"/>
    <w:rsid w:val="008422FD"/>
    <w:rsid w:val="00842A7E"/>
    <w:rsid w:val="00845E0C"/>
    <w:rsid w:val="008503C3"/>
    <w:rsid w:val="0085283C"/>
    <w:rsid w:val="0086027B"/>
    <w:rsid w:val="0086343B"/>
    <w:rsid w:val="00866BC5"/>
    <w:rsid w:val="00867A32"/>
    <w:rsid w:val="00876990"/>
    <w:rsid w:val="008856BB"/>
    <w:rsid w:val="00885A18"/>
    <w:rsid w:val="00896060"/>
    <w:rsid w:val="008A1E4C"/>
    <w:rsid w:val="008A3BA0"/>
    <w:rsid w:val="008A54A1"/>
    <w:rsid w:val="008B09D0"/>
    <w:rsid w:val="008B71AC"/>
    <w:rsid w:val="008C0791"/>
    <w:rsid w:val="008C16DB"/>
    <w:rsid w:val="008C264D"/>
    <w:rsid w:val="008C7BAE"/>
    <w:rsid w:val="008D2424"/>
    <w:rsid w:val="008E488E"/>
    <w:rsid w:val="008E5FA7"/>
    <w:rsid w:val="008F2007"/>
    <w:rsid w:val="008F2B2E"/>
    <w:rsid w:val="008F5035"/>
    <w:rsid w:val="00910525"/>
    <w:rsid w:val="00910A7A"/>
    <w:rsid w:val="00923431"/>
    <w:rsid w:val="00926EDF"/>
    <w:rsid w:val="00934DA8"/>
    <w:rsid w:val="0095238B"/>
    <w:rsid w:val="009546D4"/>
    <w:rsid w:val="009614FF"/>
    <w:rsid w:val="0098108B"/>
    <w:rsid w:val="00987E7A"/>
    <w:rsid w:val="00991B0D"/>
    <w:rsid w:val="009941A4"/>
    <w:rsid w:val="00996D78"/>
    <w:rsid w:val="00997B0B"/>
    <w:rsid w:val="009A25D3"/>
    <w:rsid w:val="009A4C7F"/>
    <w:rsid w:val="009A694F"/>
    <w:rsid w:val="009C0EF8"/>
    <w:rsid w:val="009C36E2"/>
    <w:rsid w:val="009C4B3E"/>
    <w:rsid w:val="009D249D"/>
    <w:rsid w:val="009D2D80"/>
    <w:rsid w:val="009F1753"/>
    <w:rsid w:val="009F3CDC"/>
    <w:rsid w:val="00A06AFF"/>
    <w:rsid w:val="00A10ACA"/>
    <w:rsid w:val="00A12C3B"/>
    <w:rsid w:val="00A14228"/>
    <w:rsid w:val="00A21AD6"/>
    <w:rsid w:val="00A225ED"/>
    <w:rsid w:val="00A25E58"/>
    <w:rsid w:val="00A30980"/>
    <w:rsid w:val="00A315D7"/>
    <w:rsid w:val="00A3511A"/>
    <w:rsid w:val="00A3639A"/>
    <w:rsid w:val="00A46670"/>
    <w:rsid w:val="00A539B7"/>
    <w:rsid w:val="00A564DE"/>
    <w:rsid w:val="00A56F66"/>
    <w:rsid w:val="00A609FF"/>
    <w:rsid w:val="00A64392"/>
    <w:rsid w:val="00A6481B"/>
    <w:rsid w:val="00A73CCE"/>
    <w:rsid w:val="00A7428B"/>
    <w:rsid w:val="00A75122"/>
    <w:rsid w:val="00A8109E"/>
    <w:rsid w:val="00A86A1B"/>
    <w:rsid w:val="00A911C5"/>
    <w:rsid w:val="00A91E54"/>
    <w:rsid w:val="00AA04F4"/>
    <w:rsid w:val="00AA265A"/>
    <w:rsid w:val="00AA2CCB"/>
    <w:rsid w:val="00AC2AAE"/>
    <w:rsid w:val="00AC373B"/>
    <w:rsid w:val="00AD0DA0"/>
    <w:rsid w:val="00AD5FCB"/>
    <w:rsid w:val="00AD7E40"/>
    <w:rsid w:val="00AE46D1"/>
    <w:rsid w:val="00AF43BB"/>
    <w:rsid w:val="00B119C0"/>
    <w:rsid w:val="00B12CA5"/>
    <w:rsid w:val="00B12D84"/>
    <w:rsid w:val="00B14DA4"/>
    <w:rsid w:val="00B1516E"/>
    <w:rsid w:val="00B216AB"/>
    <w:rsid w:val="00B22496"/>
    <w:rsid w:val="00B310D5"/>
    <w:rsid w:val="00B41D80"/>
    <w:rsid w:val="00B619A5"/>
    <w:rsid w:val="00B70036"/>
    <w:rsid w:val="00B73F87"/>
    <w:rsid w:val="00B77A86"/>
    <w:rsid w:val="00B8369A"/>
    <w:rsid w:val="00B83CD0"/>
    <w:rsid w:val="00BB0B18"/>
    <w:rsid w:val="00BB1695"/>
    <w:rsid w:val="00BB3268"/>
    <w:rsid w:val="00BC1867"/>
    <w:rsid w:val="00BD05CA"/>
    <w:rsid w:val="00BD1B15"/>
    <w:rsid w:val="00BD35D7"/>
    <w:rsid w:val="00BD70B3"/>
    <w:rsid w:val="00BE3E47"/>
    <w:rsid w:val="00BE4EB3"/>
    <w:rsid w:val="00BF689F"/>
    <w:rsid w:val="00C01A10"/>
    <w:rsid w:val="00C0367E"/>
    <w:rsid w:val="00C064FF"/>
    <w:rsid w:val="00C14B86"/>
    <w:rsid w:val="00C17027"/>
    <w:rsid w:val="00C253EC"/>
    <w:rsid w:val="00C25FA3"/>
    <w:rsid w:val="00C31BE2"/>
    <w:rsid w:val="00C375F5"/>
    <w:rsid w:val="00C37B84"/>
    <w:rsid w:val="00C556DF"/>
    <w:rsid w:val="00C740BC"/>
    <w:rsid w:val="00C76BD6"/>
    <w:rsid w:val="00C9344F"/>
    <w:rsid w:val="00C96B7A"/>
    <w:rsid w:val="00C97D33"/>
    <w:rsid w:val="00CA406A"/>
    <w:rsid w:val="00CA6C73"/>
    <w:rsid w:val="00CB11F1"/>
    <w:rsid w:val="00CD1096"/>
    <w:rsid w:val="00CD2EE9"/>
    <w:rsid w:val="00CE1C6C"/>
    <w:rsid w:val="00CE5BB1"/>
    <w:rsid w:val="00CE70CF"/>
    <w:rsid w:val="00D00F4A"/>
    <w:rsid w:val="00D034DB"/>
    <w:rsid w:val="00D14B98"/>
    <w:rsid w:val="00D15137"/>
    <w:rsid w:val="00D16CAC"/>
    <w:rsid w:val="00D17289"/>
    <w:rsid w:val="00D412E3"/>
    <w:rsid w:val="00D5665C"/>
    <w:rsid w:val="00D62ED5"/>
    <w:rsid w:val="00D678E4"/>
    <w:rsid w:val="00D8558F"/>
    <w:rsid w:val="00D93222"/>
    <w:rsid w:val="00D93931"/>
    <w:rsid w:val="00D9564A"/>
    <w:rsid w:val="00D95698"/>
    <w:rsid w:val="00D97099"/>
    <w:rsid w:val="00DA38DF"/>
    <w:rsid w:val="00DB2B39"/>
    <w:rsid w:val="00DB3399"/>
    <w:rsid w:val="00DC2876"/>
    <w:rsid w:val="00DE768C"/>
    <w:rsid w:val="00DF00D0"/>
    <w:rsid w:val="00DF276B"/>
    <w:rsid w:val="00DF39A2"/>
    <w:rsid w:val="00DF7629"/>
    <w:rsid w:val="00E2140E"/>
    <w:rsid w:val="00E470C4"/>
    <w:rsid w:val="00E54F40"/>
    <w:rsid w:val="00E565F7"/>
    <w:rsid w:val="00E67FED"/>
    <w:rsid w:val="00E71CBB"/>
    <w:rsid w:val="00E75737"/>
    <w:rsid w:val="00E8035D"/>
    <w:rsid w:val="00E82F74"/>
    <w:rsid w:val="00E846EA"/>
    <w:rsid w:val="00E92E4A"/>
    <w:rsid w:val="00E97267"/>
    <w:rsid w:val="00E97C58"/>
    <w:rsid w:val="00EA2465"/>
    <w:rsid w:val="00EA4A84"/>
    <w:rsid w:val="00EA5B22"/>
    <w:rsid w:val="00EB0272"/>
    <w:rsid w:val="00EB3178"/>
    <w:rsid w:val="00EB39C0"/>
    <w:rsid w:val="00EC64E8"/>
    <w:rsid w:val="00ED36B0"/>
    <w:rsid w:val="00EE0AC1"/>
    <w:rsid w:val="00EF542F"/>
    <w:rsid w:val="00F219E8"/>
    <w:rsid w:val="00F22536"/>
    <w:rsid w:val="00F22F0F"/>
    <w:rsid w:val="00F25EF1"/>
    <w:rsid w:val="00F40C1B"/>
    <w:rsid w:val="00F542BB"/>
    <w:rsid w:val="00F67FD6"/>
    <w:rsid w:val="00F709BA"/>
    <w:rsid w:val="00F74091"/>
    <w:rsid w:val="00F75D11"/>
    <w:rsid w:val="00F96043"/>
    <w:rsid w:val="00FA040D"/>
    <w:rsid w:val="00FA5830"/>
    <w:rsid w:val="00FA6AC0"/>
    <w:rsid w:val="00FB04FD"/>
    <w:rsid w:val="00FB2148"/>
    <w:rsid w:val="00FB3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AE8A3"/>
  <w15:docId w15:val="{822373BB-631C-4E3E-9DC0-972F86077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2536"/>
    <w:pPr>
      <w:spacing w:after="120" w:line="240" w:lineRule="auto"/>
    </w:pPr>
    <w:rPr>
      <w:rFonts w:ascii="Cambria" w:eastAsiaTheme="minorEastAsia" w:hAnsi="Cambria"/>
      <w:sz w:val="24"/>
      <w:szCs w:val="24"/>
    </w:rPr>
  </w:style>
  <w:style w:type="paragraph" w:styleId="Heading1">
    <w:name w:val="heading 1"/>
    <w:basedOn w:val="Normal"/>
    <w:next w:val="Normal"/>
    <w:link w:val="Heading1Char"/>
    <w:uiPriority w:val="9"/>
    <w:qFormat/>
    <w:rsid w:val="00F22536"/>
    <w:pPr>
      <w:keepNext/>
      <w:keepLines/>
      <w:spacing w:before="480"/>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365FE1"/>
    <w:pPr>
      <w:keepNext/>
      <w:keepLines/>
      <w:spacing w:before="240" w:after="200"/>
      <w:outlineLvl w:val="1"/>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536"/>
    <w:rPr>
      <w:rFonts w:ascii="Cambria" w:eastAsiaTheme="majorEastAsia" w:hAnsi="Cambria" w:cstheme="majorBidi"/>
      <w:b/>
      <w:bCs/>
      <w:sz w:val="32"/>
      <w:szCs w:val="32"/>
    </w:rPr>
  </w:style>
  <w:style w:type="character" w:customStyle="1" w:styleId="Heading2Char">
    <w:name w:val="Heading 2 Char"/>
    <w:basedOn w:val="DefaultParagraphFont"/>
    <w:link w:val="Heading2"/>
    <w:uiPriority w:val="9"/>
    <w:rsid w:val="00365FE1"/>
    <w:rPr>
      <w:rFonts w:ascii="Cambria" w:eastAsiaTheme="majorEastAsia" w:hAnsi="Cambria" w:cstheme="majorBidi"/>
      <w:b/>
      <w:bCs/>
      <w:sz w:val="26"/>
      <w:szCs w:val="26"/>
    </w:rPr>
  </w:style>
  <w:style w:type="paragraph" w:styleId="ListParagraph">
    <w:name w:val="List Paragraph"/>
    <w:basedOn w:val="Normal"/>
    <w:uiPriority w:val="34"/>
    <w:qFormat/>
    <w:rsid w:val="008A3BA0"/>
    <w:pPr>
      <w:ind w:left="720"/>
      <w:contextualSpacing/>
    </w:pPr>
  </w:style>
  <w:style w:type="character" w:styleId="PlaceholderText">
    <w:name w:val="Placeholder Text"/>
    <w:basedOn w:val="DefaultParagraphFont"/>
    <w:uiPriority w:val="99"/>
    <w:semiHidden/>
    <w:rsid w:val="00987E7A"/>
    <w:rPr>
      <w:color w:val="808080"/>
    </w:rPr>
  </w:style>
  <w:style w:type="paragraph" w:styleId="BalloonText">
    <w:name w:val="Balloon Text"/>
    <w:basedOn w:val="Normal"/>
    <w:link w:val="BalloonTextChar"/>
    <w:uiPriority w:val="99"/>
    <w:semiHidden/>
    <w:unhideWhenUsed/>
    <w:rsid w:val="00987E7A"/>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87E7A"/>
    <w:rPr>
      <w:rFonts w:ascii="Lucida Grande" w:eastAsiaTheme="minorEastAsia" w:hAnsi="Lucida Grande"/>
      <w:sz w:val="18"/>
      <w:szCs w:val="18"/>
    </w:rPr>
  </w:style>
  <w:style w:type="paragraph" w:styleId="Header">
    <w:name w:val="header"/>
    <w:basedOn w:val="Normal"/>
    <w:link w:val="HeaderChar"/>
    <w:uiPriority w:val="99"/>
    <w:unhideWhenUsed/>
    <w:rsid w:val="0085283C"/>
    <w:pPr>
      <w:tabs>
        <w:tab w:val="center" w:pos="4680"/>
        <w:tab w:val="right" w:pos="9360"/>
      </w:tabs>
      <w:spacing w:after="0"/>
    </w:pPr>
  </w:style>
  <w:style w:type="character" w:customStyle="1" w:styleId="HeaderChar">
    <w:name w:val="Header Char"/>
    <w:basedOn w:val="DefaultParagraphFont"/>
    <w:link w:val="Header"/>
    <w:uiPriority w:val="99"/>
    <w:rsid w:val="0085283C"/>
    <w:rPr>
      <w:rFonts w:ascii="Cambria" w:eastAsiaTheme="minorEastAsia" w:hAnsi="Cambria"/>
      <w:sz w:val="24"/>
      <w:szCs w:val="24"/>
    </w:rPr>
  </w:style>
  <w:style w:type="paragraph" w:styleId="Footer">
    <w:name w:val="footer"/>
    <w:basedOn w:val="Normal"/>
    <w:link w:val="FooterChar"/>
    <w:uiPriority w:val="99"/>
    <w:unhideWhenUsed/>
    <w:rsid w:val="0085283C"/>
    <w:pPr>
      <w:tabs>
        <w:tab w:val="center" w:pos="4680"/>
        <w:tab w:val="right" w:pos="9360"/>
      </w:tabs>
      <w:spacing w:after="0"/>
    </w:pPr>
  </w:style>
  <w:style w:type="character" w:customStyle="1" w:styleId="FooterChar">
    <w:name w:val="Footer Char"/>
    <w:basedOn w:val="DefaultParagraphFont"/>
    <w:link w:val="Footer"/>
    <w:uiPriority w:val="99"/>
    <w:rsid w:val="0085283C"/>
    <w:rPr>
      <w:rFonts w:ascii="Cambria" w:eastAsiaTheme="minorEastAsia" w:hAnsi="Cambria"/>
      <w:sz w:val="24"/>
      <w:szCs w:val="24"/>
    </w:rPr>
  </w:style>
  <w:style w:type="paragraph" w:styleId="Caption">
    <w:name w:val="caption"/>
    <w:basedOn w:val="Normal"/>
    <w:next w:val="Normal"/>
    <w:uiPriority w:val="35"/>
    <w:unhideWhenUsed/>
    <w:qFormat/>
    <w:rsid w:val="005C29FC"/>
    <w:pPr>
      <w:spacing w:after="200"/>
    </w:pPr>
    <w:rPr>
      <w:b/>
      <w:bCs/>
      <w:sz w:val="18"/>
      <w:szCs w:val="18"/>
    </w:rPr>
  </w:style>
  <w:style w:type="paragraph" w:styleId="NormalWeb">
    <w:name w:val="Normal (Web)"/>
    <w:basedOn w:val="Normal"/>
    <w:uiPriority w:val="99"/>
    <w:unhideWhenUsed/>
    <w:rsid w:val="008856BB"/>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D56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B3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B39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896525">
      <w:bodyDiv w:val="1"/>
      <w:marLeft w:val="0"/>
      <w:marRight w:val="0"/>
      <w:marTop w:val="0"/>
      <w:marBottom w:val="0"/>
      <w:divBdr>
        <w:top w:val="none" w:sz="0" w:space="0" w:color="auto"/>
        <w:left w:val="none" w:sz="0" w:space="0" w:color="auto"/>
        <w:bottom w:val="none" w:sz="0" w:space="0" w:color="auto"/>
        <w:right w:val="none" w:sz="0" w:space="0" w:color="auto"/>
      </w:divBdr>
      <w:divsChild>
        <w:div w:id="1034311036">
          <w:marLeft w:val="0"/>
          <w:marRight w:val="0"/>
          <w:marTop w:val="0"/>
          <w:marBottom w:val="0"/>
          <w:divBdr>
            <w:top w:val="none" w:sz="0" w:space="0" w:color="auto"/>
            <w:left w:val="none" w:sz="0" w:space="0" w:color="auto"/>
            <w:bottom w:val="none" w:sz="0" w:space="0" w:color="auto"/>
            <w:right w:val="none" w:sz="0" w:space="0" w:color="auto"/>
          </w:divBdr>
          <w:divsChild>
            <w:div w:id="1906914232">
              <w:marLeft w:val="0"/>
              <w:marRight w:val="0"/>
              <w:marTop w:val="0"/>
              <w:marBottom w:val="0"/>
              <w:divBdr>
                <w:top w:val="none" w:sz="0" w:space="0" w:color="auto"/>
                <w:left w:val="none" w:sz="0" w:space="0" w:color="auto"/>
                <w:bottom w:val="none" w:sz="0" w:space="0" w:color="auto"/>
                <w:right w:val="none" w:sz="0" w:space="0" w:color="auto"/>
              </w:divBdr>
              <w:divsChild>
                <w:div w:id="124931497">
                  <w:marLeft w:val="0"/>
                  <w:marRight w:val="0"/>
                  <w:marTop w:val="0"/>
                  <w:marBottom w:val="0"/>
                  <w:divBdr>
                    <w:top w:val="none" w:sz="0" w:space="0" w:color="auto"/>
                    <w:left w:val="none" w:sz="0" w:space="0" w:color="auto"/>
                    <w:bottom w:val="none" w:sz="0" w:space="0" w:color="auto"/>
                    <w:right w:val="none" w:sz="0" w:space="0" w:color="auto"/>
                  </w:divBdr>
                  <w:divsChild>
                    <w:div w:id="19708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66091">
      <w:bodyDiv w:val="1"/>
      <w:marLeft w:val="0"/>
      <w:marRight w:val="0"/>
      <w:marTop w:val="0"/>
      <w:marBottom w:val="0"/>
      <w:divBdr>
        <w:top w:val="none" w:sz="0" w:space="0" w:color="auto"/>
        <w:left w:val="none" w:sz="0" w:space="0" w:color="auto"/>
        <w:bottom w:val="none" w:sz="0" w:space="0" w:color="auto"/>
        <w:right w:val="none" w:sz="0" w:space="0" w:color="auto"/>
      </w:divBdr>
    </w:div>
    <w:div w:id="287125937">
      <w:bodyDiv w:val="1"/>
      <w:marLeft w:val="0"/>
      <w:marRight w:val="0"/>
      <w:marTop w:val="0"/>
      <w:marBottom w:val="0"/>
      <w:divBdr>
        <w:top w:val="none" w:sz="0" w:space="0" w:color="auto"/>
        <w:left w:val="none" w:sz="0" w:space="0" w:color="auto"/>
        <w:bottom w:val="none" w:sz="0" w:space="0" w:color="auto"/>
        <w:right w:val="none" w:sz="0" w:space="0" w:color="auto"/>
      </w:divBdr>
    </w:div>
    <w:div w:id="329717168">
      <w:bodyDiv w:val="1"/>
      <w:marLeft w:val="0"/>
      <w:marRight w:val="0"/>
      <w:marTop w:val="0"/>
      <w:marBottom w:val="0"/>
      <w:divBdr>
        <w:top w:val="none" w:sz="0" w:space="0" w:color="auto"/>
        <w:left w:val="none" w:sz="0" w:space="0" w:color="auto"/>
        <w:bottom w:val="none" w:sz="0" w:space="0" w:color="auto"/>
        <w:right w:val="none" w:sz="0" w:space="0" w:color="auto"/>
      </w:divBdr>
    </w:div>
    <w:div w:id="418215510">
      <w:bodyDiv w:val="1"/>
      <w:marLeft w:val="0"/>
      <w:marRight w:val="0"/>
      <w:marTop w:val="0"/>
      <w:marBottom w:val="0"/>
      <w:divBdr>
        <w:top w:val="none" w:sz="0" w:space="0" w:color="auto"/>
        <w:left w:val="none" w:sz="0" w:space="0" w:color="auto"/>
        <w:bottom w:val="none" w:sz="0" w:space="0" w:color="auto"/>
        <w:right w:val="none" w:sz="0" w:space="0" w:color="auto"/>
      </w:divBdr>
    </w:div>
    <w:div w:id="514348828">
      <w:bodyDiv w:val="1"/>
      <w:marLeft w:val="0"/>
      <w:marRight w:val="0"/>
      <w:marTop w:val="0"/>
      <w:marBottom w:val="0"/>
      <w:divBdr>
        <w:top w:val="none" w:sz="0" w:space="0" w:color="auto"/>
        <w:left w:val="none" w:sz="0" w:space="0" w:color="auto"/>
        <w:bottom w:val="none" w:sz="0" w:space="0" w:color="auto"/>
        <w:right w:val="none" w:sz="0" w:space="0" w:color="auto"/>
      </w:divBdr>
    </w:div>
    <w:div w:id="635646030">
      <w:bodyDiv w:val="1"/>
      <w:marLeft w:val="0"/>
      <w:marRight w:val="0"/>
      <w:marTop w:val="0"/>
      <w:marBottom w:val="0"/>
      <w:divBdr>
        <w:top w:val="none" w:sz="0" w:space="0" w:color="auto"/>
        <w:left w:val="none" w:sz="0" w:space="0" w:color="auto"/>
        <w:bottom w:val="none" w:sz="0" w:space="0" w:color="auto"/>
        <w:right w:val="none" w:sz="0" w:space="0" w:color="auto"/>
      </w:divBdr>
    </w:div>
    <w:div w:id="741606490">
      <w:bodyDiv w:val="1"/>
      <w:marLeft w:val="0"/>
      <w:marRight w:val="0"/>
      <w:marTop w:val="0"/>
      <w:marBottom w:val="0"/>
      <w:divBdr>
        <w:top w:val="none" w:sz="0" w:space="0" w:color="auto"/>
        <w:left w:val="none" w:sz="0" w:space="0" w:color="auto"/>
        <w:bottom w:val="none" w:sz="0" w:space="0" w:color="auto"/>
        <w:right w:val="none" w:sz="0" w:space="0" w:color="auto"/>
      </w:divBdr>
    </w:div>
    <w:div w:id="860238692">
      <w:bodyDiv w:val="1"/>
      <w:marLeft w:val="0"/>
      <w:marRight w:val="0"/>
      <w:marTop w:val="0"/>
      <w:marBottom w:val="0"/>
      <w:divBdr>
        <w:top w:val="none" w:sz="0" w:space="0" w:color="auto"/>
        <w:left w:val="none" w:sz="0" w:space="0" w:color="auto"/>
        <w:bottom w:val="none" w:sz="0" w:space="0" w:color="auto"/>
        <w:right w:val="none" w:sz="0" w:space="0" w:color="auto"/>
      </w:divBdr>
    </w:div>
    <w:div w:id="938878530">
      <w:bodyDiv w:val="1"/>
      <w:marLeft w:val="0"/>
      <w:marRight w:val="0"/>
      <w:marTop w:val="0"/>
      <w:marBottom w:val="0"/>
      <w:divBdr>
        <w:top w:val="none" w:sz="0" w:space="0" w:color="auto"/>
        <w:left w:val="none" w:sz="0" w:space="0" w:color="auto"/>
        <w:bottom w:val="none" w:sz="0" w:space="0" w:color="auto"/>
        <w:right w:val="none" w:sz="0" w:space="0" w:color="auto"/>
      </w:divBdr>
    </w:div>
    <w:div w:id="1112826059">
      <w:bodyDiv w:val="1"/>
      <w:marLeft w:val="0"/>
      <w:marRight w:val="0"/>
      <w:marTop w:val="0"/>
      <w:marBottom w:val="0"/>
      <w:divBdr>
        <w:top w:val="none" w:sz="0" w:space="0" w:color="auto"/>
        <w:left w:val="none" w:sz="0" w:space="0" w:color="auto"/>
        <w:bottom w:val="none" w:sz="0" w:space="0" w:color="auto"/>
        <w:right w:val="none" w:sz="0" w:space="0" w:color="auto"/>
      </w:divBdr>
    </w:div>
    <w:div w:id="1350981644">
      <w:bodyDiv w:val="1"/>
      <w:marLeft w:val="0"/>
      <w:marRight w:val="0"/>
      <w:marTop w:val="0"/>
      <w:marBottom w:val="0"/>
      <w:divBdr>
        <w:top w:val="none" w:sz="0" w:space="0" w:color="auto"/>
        <w:left w:val="none" w:sz="0" w:space="0" w:color="auto"/>
        <w:bottom w:val="none" w:sz="0" w:space="0" w:color="auto"/>
        <w:right w:val="none" w:sz="0" w:space="0" w:color="auto"/>
      </w:divBdr>
    </w:div>
    <w:div w:id="1518036222">
      <w:bodyDiv w:val="1"/>
      <w:marLeft w:val="0"/>
      <w:marRight w:val="0"/>
      <w:marTop w:val="0"/>
      <w:marBottom w:val="0"/>
      <w:divBdr>
        <w:top w:val="none" w:sz="0" w:space="0" w:color="auto"/>
        <w:left w:val="none" w:sz="0" w:space="0" w:color="auto"/>
        <w:bottom w:val="none" w:sz="0" w:space="0" w:color="auto"/>
        <w:right w:val="none" w:sz="0" w:space="0" w:color="auto"/>
      </w:divBdr>
    </w:div>
    <w:div w:id="1681541306">
      <w:bodyDiv w:val="1"/>
      <w:marLeft w:val="0"/>
      <w:marRight w:val="0"/>
      <w:marTop w:val="0"/>
      <w:marBottom w:val="0"/>
      <w:divBdr>
        <w:top w:val="none" w:sz="0" w:space="0" w:color="auto"/>
        <w:left w:val="none" w:sz="0" w:space="0" w:color="auto"/>
        <w:bottom w:val="none" w:sz="0" w:space="0" w:color="auto"/>
        <w:right w:val="none" w:sz="0" w:space="0" w:color="auto"/>
      </w:divBdr>
    </w:div>
    <w:div w:id="1721393975">
      <w:bodyDiv w:val="1"/>
      <w:marLeft w:val="0"/>
      <w:marRight w:val="0"/>
      <w:marTop w:val="0"/>
      <w:marBottom w:val="0"/>
      <w:divBdr>
        <w:top w:val="none" w:sz="0" w:space="0" w:color="auto"/>
        <w:left w:val="none" w:sz="0" w:space="0" w:color="auto"/>
        <w:bottom w:val="none" w:sz="0" w:space="0" w:color="auto"/>
        <w:right w:val="none" w:sz="0" w:space="0" w:color="auto"/>
      </w:divBdr>
    </w:div>
    <w:div w:id="1723669784">
      <w:bodyDiv w:val="1"/>
      <w:marLeft w:val="0"/>
      <w:marRight w:val="0"/>
      <w:marTop w:val="0"/>
      <w:marBottom w:val="0"/>
      <w:divBdr>
        <w:top w:val="none" w:sz="0" w:space="0" w:color="auto"/>
        <w:left w:val="none" w:sz="0" w:space="0" w:color="auto"/>
        <w:bottom w:val="none" w:sz="0" w:space="0" w:color="auto"/>
        <w:right w:val="none" w:sz="0" w:space="0" w:color="auto"/>
      </w:divBdr>
    </w:div>
    <w:div w:id="1738240140">
      <w:bodyDiv w:val="1"/>
      <w:marLeft w:val="0"/>
      <w:marRight w:val="0"/>
      <w:marTop w:val="0"/>
      <w:marBottom w:val="0"/>
      <w:divBdr>
        <w:top w:val="none" w:sz="0" w:space="0" w:color="auto"/>
        <w:left w:val="none" w:sz="0" w:space="0" w:color="auto"/>
        <w:bottom w:val="none" w:sz="0" w:space="0" w:color="auto"/>
        <w:right w:val="none" w:sz="0" w:space="0" w:color="auto"/>
      </w:divBdr>
    </w:div>
    <w:div w:id="1760634654">
      <w:bodyDiv w:val="1"/>
      <w:marLeft w:val="0"/>
      <w:marRight w:val="0"/>
      <w:marTop w:val="0"/>
      <w:marBottom w:val="0"/>
      <w:divBdr>
        <w:top w:val="none" w:sz="0" w:space="0" w:color="auto"/>
        <w:left w:val="none" w:sz="0" w:space="0" w:color="auto"/>
        <w:bottom w:val="none" w:sz="0" w:space="0" w:color="auto"/>
        <w:right w:val="none" w:sz="0" w:space="0" w:color="auto"/>
      </w:divBdr>
    </w:div>
    <w:div w:id="1918205244">
      <w:bodyDiv w:val="1"/>
      <w:marLeft w:val="0"/>
      <w:marRight w:val="0"/>
      <w:marTop w:val="0"/>
      <w:marBottom w:val="0"/>
      <w:divBdr>
        <w:top w:val="none" w:sz="0" w:space="0" w:color="auto"/>
        <w:left w:val="none" w:sz="0" w:space="0" w:color="auto"/>
        <w:bottom w:val="none" w:sz="0" w:space="0" w:color="auto"/>
        <w:right w:val="none" w:sz="0" w:space="0" w:color="auto"/>
      </w:divBdr>
    </w:div>
    <w:div w:id="2118526827">
      <w:bodyDiv w:val="1"/>
      <w:marLeft w:val="0"/>
      <w:marRight w:val="0"/>
      <w:marTop w:val="0"/>
      <w:marBottom w:val="0"/>
      <w:divBdr>
        <w:top w:val="none" w:sz="0" w:space="0" w:color="auto"/>
        <w:left w:val="none" w:sz="0" w:space="0" w:color="auto"/>
        <w:bottom w:val="none" w:sz="0" w:space="0" w:color="auto"/>
        <w:right w:val="none" w:sz="0" w:space="0" w:color="auto"/>
      </w:divBdr>
      <w:divsChild>
        <w:div w:id="2096242680">
          <w:marLeft w:val="0"/>
          <w:marRight w:val="0"/>
          <w:marTop w:val="0"/>
          <w:marBottom w:val="0"/>
          <w:divBdr>
            <w:top w:val="none" w:sz="0" w:space="0" w:color="auto"/>
            <w:left w:val="none" w:sz="0" w:space="0" w:color="auto"/>
            <w:bottom w:val="none" w:sz="0" w:space="0" w:color="auto"/>
            <w:right w:val="none" w:sz="0" w:space="0" w:color="auto"/>
          </w:divBdr>
          <w:divsChild>
            <w:div w:id="1170363805">
              <w:marLeft w:val="0"/>
              <w:marRight w:val="0"/>
              <w:marTop w:val="0"/>
              <w:marBottom w:val="0"/>
              <w:divBdr>
                <w:top w:val="none" w:sz="0" w:space="0" w:color="auto"/>
                <w:left w:val="none" w:sz="0" w:space="0" w:color="auto"/>
                <w:bottom w:val="none" w:sz="0" w:space="0" w:color="auto"/>
                <w:right w:val="none" w:sz="0" w:space="0" w:color="auto"/>
              </w:divBdr>
              <w:divsChild>
                <w:div w:id="1971395524">
                  <w:marLeft w:val="0"/>
                  <w:marRight w:val="0"/>
                  <w:marTop w:val="0"/>
                  <w:marBottom w:val="0"/>
                  <w:divBdr>
                    <w:top w:val="none" w:sz="0" w:space="0" w:color="auto"/>
                    <w:left w:val="none" w:sz="0" w:space="0" w:color="auto"/>
                    <w:bottom w:val="none" w:sz="0" w:space="0" w:color="auto"/>
                    <w:right w:val="none" w:sz="0" w:space="0" w:color="auto"/>
                  </w:divBdr>
                  <w:divsChild>
                    <w:div w:id="132685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532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784</TotalTime>
  <Pages>9</Pages>
  <Words>2309</Words>
  <Characters>13164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Ian Robert</dc:creator>
  <cp:keywords/>
  <dc:description/>
  <cp:lastModifiedBy>Stewart, Ian Robert</cp:lastModifiedBy>
  <cp:revision>343</cp:revision>
  <cp:lastPrinted>2018-10-23T03:22:00Z</cp:lastPrinted>
  <dcterms:created xsi:type="dcterms:W3CDTF">2018-10-16T00:05:00Z</dcterms:created>
  <dcterms:modified xsi:type="dcterms:W3CDTF">2018-11-04T19:48:00Z</dcterms:modified>
</cp:coreProperties>
</file>