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8"/>
        <w:gridCol w:w="4095"/>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2" w:hRule="atLeast"/>
        </w:trPr>
        <w:tc>
          <w:tcPr>
            <w:tcW w:w="3048" w:type="dxa"/>
            <w:tcBorders>
              <w:top w:val="double" w:color="auto" w:sz="4" w:space="0"/>
              <w:left w:val="double" w:color="auto" w:sz="4" w:space="0"/>
              <w:bottom w:val="double" w:color="auto" w:sz="4" w:space="0"/>
              <w:right w:val="single" w:color="auto" w:sz="4" w:space="0"/>
            </w:tcBorders>
            <w:vAlign w:val="center"/>
          </w:tcPr>
          <w:p>
            <w:pPr>
              <w:jc w:val="both"/>
              <w:rPr>
                <w:rFonts w:ascii="黑体" w:eastAsia="黑体"/>
                <w:sz w:val="28"/>
              </w:rPr>
            </w:pPr>
            <w:r>
              <w:rPr>
                <w:rFonts w:hint="eastAsia" w:ascii="黑体"/>
                <w:sz w:val="28"/>
              </w:rPr>
              <w:t>技术交底书</w:t>
            </w:r>
          </w:p>
          <w:p>
            <w:pPr>
              <w:ind w:firstLine="360"/>
              <w:rPr>
                <w:rFonts w:ascii="宋体"/>
                <w:sz w:val="18"/>
              </w:rPr>
            </w:pPr>
            <w:r>
              <w:rPr>
                <w:rFonts w:hint="eastAsia" w:ascii="宋体"/>
                <w:sz w:val="18"/>
              </w:rPr>
              <w:t>（以下由知识产权部填写）</w:t>
            </w:r>
          </w:p>
          <w:p>
            <w:r>
              <w:rPr>
                <w:rFonts w:hint="eastAsia"/>
              </w:rPr>
              <w:t>案号：</w:t>
            </w:r>
          </w:p>
          <w:p>
            <w:pPr>
              <w:rPr>
                <w:sz w:val="28"/>
              </w:rPr>
            </w:pPr>
            <w:r>
              <w:rPr>
                <w:rFonts w:hint="eastAsia"/>
              </w:rPr>
              <w:t>日期：</w:t>
            </w:r>
            <w:r>
              <w:fldChar w:fldCharType="begin"/>
            </w:r>
            <w:r>
              <w:instrText xml:space="preserve"> MACROBUTTON ActivateObject </w:instrText>
            </w:r>
            <w:r>
              <w:fldChar w:fldCharType="end"/>
            </w:r>
            <w:r>
              <w:fldChar w:fldCharType="begin"/>
            </w:r>
            <w:r>
              <w:instrText xml:space="preserve"> MACROBUTTON </w:instrText>
            </w:r>
            <w:r>
              <w:rPr>
                <w:rFonts w:hint="eastAsia"/>
              </w:rPr>
              <w:instrText xml:space="preserve">知识</w:instrText>
            </w:r>
            <w:r>
              <w:instrText xml:space="preserve"> </w:instrText>
            </w:r>
            <w:r>
              <w:fldChar w:fldCharType="end"/>
            </w:r>
          </w:p>
        </w:tc>
        <w:tc>
          <w:tcPr>
            <w:tcW w:w="4095" w:type="dxa"/>
            <w:tcBorders>
              <w:top w:val="double" w:color="auto" w:sz="4" w:space="0"/>
              <w:left w:val="nil"/>
              <w:bottom w:val="double" w:color="auto" w:sz="4" w:space="0"/>
              <w:right w:val="single" w:color="auto" w:sz="4" w:space="0"/>
            </w:tcBorders>
            <w:vAlign w:val="center"/>
          </w:tcPr>
          <w:p>
            <w:pPr>
              <w:ind w:left="0" w:leftChars="0" w:firstLine="0" w:firstLineChars="0"/>
              <w:rPr>
                <w:rFonts w:hint="eastAsia" w:eastAsia="华文宋体"/>
                <w:sz w:val="28"/>
                <w:lang w:val="en-US" w:eastAsia="zh-CN"/>
              </w:rPr>
            </w:pPr>
            <w:r>
              <w:rPr>
                <w:rFonts w:hint="eastAsia"/>
                <w:sz w:val="28"/>
              </w:rPr>
              <w:t>申请人：</w:t>
            </w:r>
            <w:r>
              <w:rPr>
                <w:rFonts w:hint="eastAsia"/>
                <w:sz w:val="28"/>
                <w:lang w:val="en-US" w:eastAsia="zh-CN"/>
              </w:rPr>
              <w:t>薛志伟</w:t>
            </w:r>
          </w:p>
          <w:p>
            <w:pPr>
              <w:ind w:left="0" w:leftChars="0" w:firstLine="0" w:firstLineChars="0"/>
              <w:rPr>
                <w:rFonts w:hint="default" w:ascii="楷体_GB2312" w:eastAsia="华文宋体"/>
                <w:lang w:val="en-US" w:eastAsia="zh-CN"/>
              </w:rPr>
            </w:pPr>
            <w:r>
              <w:rPr>
                <w:rFonts w:hint="eastAsia" w:ascii="楷体_GB2312"/>
              </w:rPr>
              <w:t>地址：</w:t>
            </w:r>
            <w:r>
              <w:rPr>
                <w:rFonts w:hint="eastAsia" w:ascii="楷体_GB2312"/>
                <w:lang w:val="en-US" w:eastAsia="zh-CN"/>
              </w:rPr>
              <w:t>湖南省长沙市湖南大学信息科学与工程学院</w:t>
            </w:r>
          </w:p>
          <w:p>
            <w:pPr>
              <w:ind w:left="0" w:leftChars="0" w:firstLine="0" w:firstLineChars="0"/>
              <w:rPr>
                <w:rFonts w:hint="default" w:eastAsia="华文宋体"/>
                <w:lang w:val="en-US" w:eastAsia="zh-CN"/>
              </w:rPr>
            </w:pPr>
            <w:r>
              <w:rPr>
                <w:rFonts w:hint="eastAsia" w:ascii="楷体_GB2312"/>
              </w:rPr>
              <w:t>邮编：</w:t>
            </w:r>
            <w:r>
              <w:rPr>
                <w:rFonts w:hint="eastAsia" w:ascii="楷体_GB2312"/>
                <w:lang w:val="en-US" w:eastAsia="zh-CN"/>
              </w:rPr>
              <w:t>410082</w:t>
            </w:r>
            <w:r>
              <w:rPr>
                <w:rFonts w:hint="eastAsia" w:ascii="楷体_GB2312"/>
              </w:rPr>
              <w:t>总机：</w:t>
            </w:r>
            <w:r>
              <w:rPr>
                <w:rFonts w:hint="eastAsia" w:ascii="楷体_GB2312"/>
                <w:lang w:val="en-US" w:eastAsia="zh-CN"/>
              </w:rPr>
              <w:t>13525367339</w:t>
            </w:r>
          </w:p>
        </w:tc>
        <w:tc>
          <w:tcPr>
            <w:tcW w:w="2100" w:type="dxa"/>
            <w:tcBorders>
              <w:top w:val="double" w:color="auto" w:sz="4" w:space="0"/>
              <w:left w:val="nil"/>
              <w:bottom w:val="double" w:color="auto" w:sz="4" w:space="0"/>
              <w:right w:val="double" w:color="auto" w:sz="4" w:space="0"/>
            </w:tcBorders>
          </w:tcPr>
          <w:p>
            <w:pPr>
              <w:ind w:left="0" w:leftChars="0" w:firstLine="0" w:firstLineChars="0"/>
              <w:rPr>
                <w:rFonts w:hint="default" w:eastAsia="华文宋体"/>
                <w:lang w:val="en-US" w:eastAsia="zh-CN"/>
              </w:rPr>
            </w:pPr>
            <w:r>
              <w:rPr>
                <w:rFonts w:hint="eastAsia"/>
              </w:rPr>
              <w:t>申请人为个人时，提供身份证号，申请人为单位时提供机构代码：</w:t>
            </w:r>
            <w:r>
              <w:rPr>
                <w:rFonts w:hint="eastAsia"/>
                <w:lang w:val="en-US" w:eastAsia="zh-CN"/>
              </w:rPr>
              <w:t>410425199810036096</w:t>
            </w:r>
          </w:p>
        </w:tc>
      </w:tr>
    </w:tbl>
    <w:p>
      <w:r>
        <w:fldChar w:fldCharType="begin"/>
      </w:r>
      <w:r>
        <w:instrText xml:space="preserve"> MACROBUTTON </w:instrText>
      </w:r>
      <w:r>
        <w:fldChar w:fldCharType="end"/>
      </w:r>
      <w:r>
        <w:fldChar w:fldCharType="begin"/>
      </w:r>
      <w:r>
        <w:instrText xml:space="preserve"> MACROBUTTON </w:instrText>
      </w:r>
      <w:r>
        <w:fldChar w:fldCharType="end"/>
      </w:r>
      <w:r>
        <w:fldChar w:fldCharType="begin"/>
      </w:r>
      <w:r>
        <w:instrText xml:space="preserve"> MACROBUTTON </w:instrText>
      </w:r>
      <w:r>
        <w:fldChar w:fldCharType="end"/>
      </w:r>
      <w:r>
        <w:fldChar w:fldCharType="begin"/>
      </w:r>
      <w:r>
        <w:instrText xml:space="preserve"> GOTOBUTTON </w:instrText>
      </w:r>
      <w:r>
        <w:fldChar w:fldCharType="end"/>
      </w:r>
      <w:r>
        <w:fldChar w:fldCharType="begin"/>
      </w:r>
      <w:r>
        <w:instrText xml:space="preserve"> macrobutton </w:instrText>
      </w:r>
      <w:r>
        <w:fldChar w:fldCharType="end"/>
      </w:r>
      <w:r>
        <w:fldChar w:fldCharType="begin"/>
      </w:r>
      <w:r>
        <w:instrText xml:space="preserve"> MACROBUTTON AutoText </w:instrText>
      </w:r>
      <w:r>
        <w:fldChar w:fldCharType="end"/>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2385"/>
        <w:gridCol w:w="240"/>
        <w:gridCol w:w="1575"/>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755" w:type="dxa"/>
            <w:tcBorders>
              <w:top w:val="nil"/>
              <w:left w:val="nil"/>
              <w:bottom w:val="nil"/>
              <w:right w:val="nil"/>
            </w:tcBorders>
            <w:vAlign w:val="center"/>
          </w:tcPr>
          <w:p>
            <w:pPr>
              <w:ind w:left="0" w:leftChars="0" w:firstLine="0" w:firstLineChars="0"/>
              <w:jc w:val="both"/>
              <w:rPr>
                <w:rFonts w:ascii="宋体" w:hAnsi="宋体" w:eastAsia="宋体" w:cs="宋体"/>
              </w:rPr>
            </w:pPr>
            <w:r>
              <w:rPr>
                <w:rFonts w:hint="eastAsia" w:ascii="宋体" w:hAnsi="宋体" w:eastAsia="宋体" w:cs="宋体"/>
              </w:rPr>
              <w:t>发明创造名称</w:t>
            </w:r>
          </w:p>
        </w:tc>
        <w:tc>
          <w:tcPr>
            <w:tcW w:w="6621" w:type="dxa"/>
            <w:gridSpan w:val="4"/>
            <w:tcBorders>
              <w:top w:val="nil"/>
              <w:left w:val="nil"/>
              <w:right w:val="nil"/>
            </w:tcBorders>
            <w:vAlign w:val="center"/>
          </w:tcPr>
          <w:p>
            <w:pPr>
              <w:ind w:left="0" w:leftChars="0" w:firstLine="0" w:firstLineChars="0"/>
              <w:rPr>
                <w:rFonts w:ascii="宋体" w:hAnsi="宋体" w:eastAsia="宋体" w:cs="宋体"/>
                <w:lang w:eastAsia="zh-Hans"/>
              </w:rPr>
            </w:pPr>
            <w:r>
              <w:rPr>
                <w:rFonts w:hint="eastAsia" w:ascii="宋体" w:hAnsi="宋体" w:eastAsia="宋体" w:cs="宋体"/>
                <w:lang w:eastAsia="zh-Hans"/>
              </w:rPr>
              <w:t>基于用户空间代理的内核进程调度算法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75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发明人</w:t>
            </w:r>
          </w:p>
        </w:tc>
        <w:tc>
          <w:tcPr>
            <w:tcW w:w="6621" w:type="dxa"/>
            <w:gridSpan w:val="4"/>
            <w:tcBorders>
              <w:left w:val="nil"/>
              <w:right w:val="nil"/>
            </w:tcBorders>
            <w:vAlign w:val="center"/>
          </w:tcPr>
          <w:p>
            <w:pPr>
              <w:ind w:left="0" w:leftChars="0" w:firstLine="0" w:firstLineChars="0"/>
              <w:rPr>
                <w:rFonts w:hint="default" w:ascii="宋体" w:hAnsi="宋体" w:eastAsia="宋体" w:cs="宋体"/>
                <w:lang w:val="en-US" w:eastAsia="zh-CN"/>
              </w:rPr>
            </w:pPr>
            <w:r>
              <w:rPr>
                <w:rFonts w:hint="eastAsia" w:ascii="宋体" w:hAnsi="宋体" w:eastAsia="宋体" w:cs="宋体"/>
              </w:rPr>
              <w:t>身份证号：</w:t>
            </w:r>
            <w:r>
              <w:rPr>
                <w:rFonts w:hint="eastAsia" w:ascii="宋体" w:hAnsi="宋体" w:eastAsia="宋体" w:cs="宋体"/>
                <w:lang w:val="en-US" w:eastAsia="zh-CN"/>
              </w:rPr>
              <w:t>410425199810036096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3" w:hRule="atLeast"/>
          <w:jc w:val="center"/>
        </w:trPr>
        <w:tc>
          <w:tcPr>
            <w:tcW w:w="1755" w:type="dxa"/>
            <w:tcBorders>
              <w:top w:val="nil"/>
              <w:left w:val="nil"/>
              <w:bottom w:val="nil"/>
              <w:right w:val="nil"/>
            </w:tcBorders>
            <w:vAlign w:val="center"/>
          </w:tcPr>
          <w:p>
            <w:pPr>
              <w:rPr>
                <w:rFonts w:ascii="宋体" w:hAnsi="宋体" w:eastAsia="宋体" w:cs="宋体"/>
              </w:rPr>
            </w:pPr>
          </w:p>
        </w:tc>
        <w:tc>
          <w:tcPr>
            <w:tcW w:w="2385" w:type="dxa"/>
            <w:tcBorders>
              <w:top w:val="nil"/>
              <w:left w:val="nil"/>
              <w:bottom w:val="nil"/>
              <w:right w:val="nil"/>
            </w:tcBorders>
            <w:vAlign w:val="center"/>
          </w:tcPr>
          <w:p>
            <w:pPr>
              <w:rPr>
                <w:rFonts w:ascii="宋体" w:hAnsi="宋体" w:eastAsia="宋体" w:cs="宋体"/>
              </w:rPr>
            </w:pPr>
          </w:p>
        </w:tc>
        <w:tc>
          <w:tcPr>
            <w:tcW w:w="240" w:type="dxa"/>
            <w:tcBorders>
              <w:left w:val="nil"/>
              <w:bottom w:val="nil"/>
              <w:right w:val="nil"/>
            </w:tcBorders>
            <w:vAlign w:val="center"/>
          </w:tcPr>
          <w:p>
            <w:pPr>
              <w:rPr>
                <w:rFonts w:ascii="宋体" w:hAnsi="宋体" w:eastAsia="宋体" w:cs="宋体"/>
              </w:rPr>
            </w:pPr>
          </w:p>
        </w:tc>
        <w:tc>
          <w:tcPr>
            <w:tcW w:w="3996" w:type="dxa"/>
            <w:gridSpan w:val="2"/>
            <w:tcBorders>
              <w:left w:val="nil"/>
              <w:bottom w:val="nil"/>
              <w:right w:val="nil"/>
            </w:tcBorders>
            <w:vAlign w:val="bottom"/>
          </w:tcPr>
          <w:p>
            <w:pPr>
              <w:ind w:firstLine="360"/>
              <w:rPr>
                <w:rFonts w:ascii="宋体" w:hAnsi="宋体" w:eastAsia="宋体" w:cs="宋体"/>
              </w:rPr>
            </w:pPr>
            <w:r>
              <w:rPr>
                <w:rFonts w:hint="eastAsia" w:ascii="宋体" w:hAnsi="宋体" w:eastAsia="宋体" w:cs="宋体"/>
                <w:sz w:val="18"/>
              </w:rPr>
              <w:t>（以下由知识产权部填写）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75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交底书撰写人</w:t>
            </w:r>
          </w:p>
        </w:tc>
        <w:tc>
          <w:tcPr>
            <w:tcW w:w="2385" w:type="dxa"/>
            <w:tcBorders>
              <w:top w:val="nil"/>
              <w:left w:val="nil"/>
              <w:right w:val="nil"/>
            </w:tcBorders>
            <w:vAlign w:val="center"/>
          </w:tcPr>
          <w:p>
            <w:p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薛志伟</w:t>
            </w:r>
          </w:p>
        </w:tc>
        <w:tc>
          <w:tcPr>
            <w:tcW w:w="240" w:type="dxa"/>
            <w:vMerge w:val="restart"/>
            <w:tcBorders>
              <w:top w:val="nil"/>
              <w:left w:val="nil"/>
              <w:right w:val="nil"/>
            </w:tcBorders>
            <w:vAlign w:val="center"/>
          </w:tcPr>
          <w:p>
            <w:pPr>
              <w:jc w:val="center"/>
              <w:rPr>
                <w:rFonts w:ascii="宋体" w:hAnsi="宋体" w:eastAsia="宋体" w:cs="宋体"/>
              </w:rPr>
            </w:pPr>
          </w:p>
        </w:tc>
        <w:tc>
          <w:tcPr>
            <w:tcW w:w="157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专利类型</w:t>
            </w:r>
          </w:p>
        </w:tc>
        <w:tc>
          <w:tcPr>
            <w:tcW w:w="2421" w:type="dxa"/>
            <w:tcBorders>
              <w:top w:val="nil"/>
              <w:left w:val="nil"/>
              <w:right w:val="nil"/>
            </w:tcBorders>
            <w:vAlign w:val="center"/>
          </w:tcPr>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75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联系电话</w:t>
            </w:r>
          </w:p>
        </w:tc>
        <w:tc>
          <w:tcPr>
            <w:tcW w:w="2385" w:type="dxa"/>
            <w:tcBorders>
              <w:left w:val="nil"/>
              <w:right w:val="nil"/>
            </w:tcBorders>
            <w:vAlign w:val="center"/>
          </w:tcPr>
          <w:p>
            <w:p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13525367339</w:t>
            </w:r>
          </w:p>
        </w:tc>
        <w:tc>
          <w:tcPr>
            <w:tcW w:w="240" w:type="dxa"/>
            <w:vMerge w:val="continue"/>
            <w:tcBorders>
              <w:left w:val="nil"/>
              <w:right w:val="nil"/>
            </w:tcBorders>
            <w:vAlign w:val="center"/>
          </w:tcPr>
          <w:p>
            <w:pPr>
              <w:jc w:val="center"/>
              <w:rPr>
                <w:rFonts w:ascii="宋体" w:hAnsi="宋体" w:eastAsia="宋体" w:cs="宋体"/>
              </w:rPr>
            </w:pPr>
          </w:p>
        </w:tc>
        <w:tc>
          <w:tcPr>
            <w:tcW w:w="157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知识产权部负责人</w:t>
            </w:r>
          </w:p>
        </w:tc>
        <w:tc>
          <w:tcPr>
            <w:tcW w:w="2421" w:type="dxa"/>
            <w:tcBorders>
              <w:left w:val="nil"/>
              <w:right w:val="nil"/>
            </w:tcBorders>
            <w:vAlign w:val="center"/>
          </w:tcPr>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75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传真号码</w:t>
            </w:r>
          </w:p>
        </w:tc>
        <w:tc>
          <w:tcPr>
            <w:tcW w:w="2385" w:type="dxa"/>
            <w:tcBorders>
              <w:left w:val="nil"/>
              <w:right w:val="nil"/>
            </w:tcBorders>
            <w:vAlign w:val="center"/>
          </w:tcPr>
          <w:p>
            <w:pPr>
              <w:ind w:left="0" w:leftChars="0" w:firstLine="0" w:firstLineChars="0"/>
              <w:rPr>
                <w:rFonts w:ascii="宋体" w:hAnsi="宋体" w:eastAsia="宋体" w:cs="宋体"/>
              </w:rPr>
            </w:pPr>
          </w:p>
        </w:tc>
        <w:tc>
          <w:tcPr>
            <w:tcW w:w="240" w:type="dxa"/>
            <w:vMerge w:val="continue"/>
            <w:tcBorders>
              <w:left w:val="nil"/>
              <w:right w:val="nil"/>
            </w:tcBorders>
            <w:vAlign w:val="center"/>
          </w:tcPr>
          <w:p>
            <w:pPr>
              <w:jc w:val="center"/>
              <w:rPr>
                <w:rFonts w:ascii="宋体" w:hAnsi="宋体" w:eastAsia="宋体" w:cs="宋体"/>
              </w:rPr>
            </w:pPr>
          </w:p>
        </w:tc>
        <w:tc>
          <w:tcPr>
            <w:tcW w:w="157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电话/传真</w:t>
            </w:r>
          </w:p>
        </w:tc>
        <w:tc>
          <w:tcPr>
            <w:tcW w:w="2421" w:type="dxa"/>
            <w:tcBorders>
              <w:left w:val="nil"/>
              <w:right w:val="nil"/>
            </w:tcBorders>
            <w:vAlign w:val="center"/>
          </w:tcPr>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75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E－mail</w:t>
            </w:r>
          </w:p>
        </w:tc>
        <w:tc>
          <w:tcPr>
            <w:tcW w:w="2385" w:type="dxa"/>
            <w:tcBorders>
              <w:left w:val="nil"/>
              <w:right w:val="nil"/>
            </w:tcBorders>
            <w:vAlign w:val="center"/>
          </w:tcPr>
          <w:p>
            <w:pPr>
              <w:ind w:firstLine="0" w:firstLineChars="0"/>
              <w:rPr>
                <w:rFonts w:hint="default" w:ascii="宋体" w:hAnsi="宋体" w:eastAsia="宋体" w:cs="宋体"/>
                <w:lang w:val="en-US" w:eastAsia="zh-CN"/>
              </w:rPr>
            </w:pPr>
            <w:r>
              <w:rPr>
                <w:rFonts w:hint="eastAsia" w:ascii="宋体" w:hAnsi="宋体" w:eastAsia="宋体" w:cs="宋体"/>
                <w:lang w:val="en-US" w:eastAsia="zh-CN"/>
              </w:rPr>
              <w:t>xuezhiwei510@163.com</w:t>
            </w:r>
          </w:p>
        </w:tc>
        <w:tc>
          <w:tcPr>
            <w:tcW w:w="240" w:type="dxa"/>
            <w:vMerge w:val="continue"/>
            <w:tcBorders>
              <w:left w:val="nil"/>
              <w:bottom w:val="nil"/>
              <w:right w:val="nil"/>
            </w:tcBorders>
            <w:vAlign w:val="center"/>
          </w:tcPr>
          <w:p>
            <w:pPr>
              <w:jc w:val="center"/>
              <w:rPr>
                <w:rFonts w:ascii="宋体" w:hAnsi="宋体" w:eastAsia="宋体" w:cs="宋体"/>
              </w:rPr>
            </w:pPr>
          </w:p>
        </w:tc>
        <w:tc>
          <w:tcPr>
            <w:tcW w:w="1575" w:type="dxa"/>
            <w:tcBorders>
              <w:top w:val="nil"/>
              <w:left w:val="nil"/>
              <w:bottom w:val="nil"/>
              <w:right w:val="nil"/>
            </w:tcBorders>
            <w:vAlign w:val="center"/>
          </w:tcPr>
          <w:p>
            <w:pPr>
              <w:jc w:val="center"/>
              <w:rPr>
                <w:rFonts w:ascii="宋体" w:hAnsi="宋体" w:eastAsia="宋体" w:cs="宋体"/>
              </w:rPr>
            </w:pPr>
            <w:r>
              <w:rPr>
                <w:rFonts w:hint="eastAsia" w:ascii="宋体" w:hAnsi="宋体" w:eastAsia="宋体" w:cs="宋体"/>
              </w:rPr>
              <w:t>E－mail</w:t>
            </w:r>
          </w:p>
        </w:tc>
        <w:tc>
          <w:tcPr>
            <w:tcW w:w="2421" w:type="dxa"/>
            <w:tcBorders>
              <w:left w:val="nil"/>
              <w:right w:val="nil"/>
            </w:tcBorders>
            <w:vAlign w:val="center"/>
          </w:tcPr>
          <w:p>
            <w:pPr>
              <w:jc w:val="right"/>
              <w:rPr>
                <w:rFonts w:ascii="宋体" w:hAnsi="宋体" w:eastAsia="宋体" w:cs="宋体"/>
              </w:rPr>
            </w:pPr>
          </w:p>
        </w:tc>
      </w:tr>
    </w:tbl>
    <w:p>
      <w:pPr>
        <w:rPr>
          <w:rFonts w:ascii="宋体" w:hAnsi="宋体"/>
          <w:bCs/>
          <w:szCs w:val="21"/>
        </w:rPr>
      </w:pPr>
    </w:p>
    <w:p>
      <w:pPr>
        <w:pStyle w:val="16"/>
      </w:pPr>
      <w:r>
        <w:rPr>
          <w:rFonts w:hint="eastAsia"/>
        </w:rPr>
        <w:t>填写注意事项：</w:t>
      </w:r>
    </w:p>
    <w:p>
      <w:pPr>
        <w:pStyle w:val="16"/>
        <w:ind w:left="0" w:leftChars="0" w:firstLine="0" w:firstLineChars="0"/>
      </w:pPr>
    </w:p>
    <w:p>
      <w:pPr>
        <w:pStyle w:val="16"/>
      </w:pPr>
      <w:r>
        <w:rPr>
          <w:rFonts w:hint="eastAsia"/>
        </w:rPr>
        <w:t>代理人并不是技术专家，交底书要使代理人能看懂，尤其是</w:t>
      </w:r>
      <w:r>
        <w:rPr>
          <w:rFonts w:hint="eastAsia"/>
          <w:highlight w:val="none"/>
        </w:rPr>
        <w:t>背景技术</w:t>
      </w:r>
      <w:r>
        <w:rPr>
          <w:rFonts w:hint="eastAsia"/>
        </w:rPr>
        <w:t>和</w:t>
      </w:r>
      <w:r>
        <w:rPr>
          <w:rFonts w:hint="eastAsia"/>
          <w:highlight w:val="none"/>
        </w:rPr>
        <w:t>详尽的技术方案</w:t>
      </w:r>
      <w:r>
        <w:rPr>
          <w:rFonts w:hint="eastAsia"/>
        </w:rPr>
        <w:t>，一定要写得全面、清楚。</w:t>
      </w:r>
    </w:p>
    <w:p>
      <w:pPr>
        <w:pStyle w:val="16"/>
      </w:pPr>
      <w:r>
        <w:rPr>
          <w:rFonts w:hint="eastAsia"/>
        </w:rPr>
        <w:t>全文对同一事物的叫法应统一，避免出现一种东西多种叫法。（这点最重要，否则可能使理解的方案有偏差）</w:t>
      </w:r>
    </w:p>
    <w:p>
      <w:pPr>
        <w:pStyle w:val="16"/>
      </w:pPr>
      <w:r>
        <w:rPr>
          <w:rFonts w:hint="eastAsia"/>
        </w:rPr>
        <w:t>和代理人沟通时，对于代理人的疑问应认真理解，要求补充的材料应及时补充。</w:t>
      </w:r>
    </w:p>
    <w:p>
      <w:pPr>
        <w:pStyle w:val="16"/>
      </w:pPr>
      <w:r>
        <w:rPr>
          <w:rFonts w:hint="eastAsia"/>
        </w:rPr>
        <w:t>专利法规定：</w:t>
      </w:r>
    </w:p>
    <w:p>
      <w:pPr>
        <w:pStyle w:val="16"/>
      </w:pPr>
      <w:r>
        <w:rPr>
          <w:rFonts w:hint="eastAsia"/>
        </w:rPr>
        <w:t>①专利必须是一个技术方案，应该阐述发明（实用新型）目的是通过什么技术方案来实现的，不能只有原理，也不能只做功能介绍；</w:t>
      </w:r>
    </w:p>
    <w:p>
      <w:pPr>
        <w:pStyle w:val="16"/>
      </w:pPr>
      <w:r>
        <w:rPr>
          <w:rFonts w:hint="eastAsia"/>
        </w:rPr>
        <w:t>交底书不能按功能写，应按步骤/层次写，即从步骤/层次角度扩展（以阶梯方式描述），使之逻辑清楚。若从功能角度写，则具有较多的介绍成分，使本发明（实用新型）的方法/系统分散，不易提炼本发明（实用新型）的核心。</w:t>
      </w:r>
    </w:p>
    <w:p>
      <w:pPr>
        <w:pStyle w:val="16"/>
      </w:pPr>
      <w:r>
        <w:rPr>
          <w:rFonts w:hint="eastAsia"/>
        </w:rPr>
        <w:t>②专利必须充分公开，以本领域技术人员不需付出创造性劳动即可实现为准。</w:t>
      </w:r>
    </w:p>
    <w:p>
      <w:p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cols w:space="720" w:num="1"/>
          <w:titlePg/>
          <w:docGrid w:type="lines" w:linePitch="312" w:charSpace="0"/>
        </w:sectPr>
      </w:pPr>
    </w:p>
    <w:p>
      <w:pPr>
        <w:pStyle w:val="2"/>
        <w:numPr>
          <w:ilvl w:val="0"/>
          <w:numId w:val="1"/>
        </w:numPr>
        <w:spacing w:after="0"/>
        <w:ind w:left="374" w:hanging="374"/>
        <w:rPr>
          <w:rFonts w:hint="eastAsia" w:ascii="宋体"/>
        </w:rPr>
      </w:pPr>
      <w:r>
        <w:rPr>
          <w:rFonts w:hint="eastAsia" w:ascii="宋体"/>
        </w:rPr>
        <w:t>本发明的技术关键点或欲保护点：</w:t>
      </w:r>
    </w:p>
    <w:p>
      <w:pPr>
        <w:pStyle w:val="2"/>
        <w:numPr>
          <w:ilvl w:val="0"/>
          <w:numId w:val="1"/>
        </w:numPr>
        <w:spacing w:after="0"/>
        <w:ind w:left="374" w:hanging="374"/>
        <w:rPr>
          <w:rFonts w:ascii="宋体"/>
        </w:rPr>
      </w:pPr>
      <w:r>
        <w:rPr>
          <w:rFonts w:hint="eastAsia" w:ascii="宋体"/>
        </w:rPr>
        <w:t>所属技术领域：</w:t>
      </w:r>
    </w:p>
    <w:p>
      <w:pPr>
        <w:pStyle w:val="2"/>
        <w:numPr>
          <w:ilvl w:val="0"/>
          <w:numId w:val="1"/>
        </w:numPr>
        <w:spacing w:before="0" w:after="0"/>
        <w:ind w:left="0" w:firstLine="0"/>
        <w:jc w:val="left"/>
      </w:pPr>
      <w:r>
        <w:rPr>
          <w:rFonts w:hint="eastAsia"/>
        </w:rPr>
        <w:t>背景技术：</w:t>
      </w:r>
    </w:p>
    <w:p>
      <w:pPr>
        <w:pStyle w:val="2"/>
        <w:numPr>
          <w:ilvl w:val="0"/>
          <w:numId w:val="1"/>
        </w:numPr>
        <w:spacing w:after="0"/>
        <w:ind w:left="374" w:hanging="374"/>
      </w:pPr>
      <w:r>
        <w:rPr>
          <w:rFonts w:hint="eastAsia"/>
        </w:rPr>
        <w:t>背景技术的缺点：</w:t>
      </w:r>
    </w:p>
    <w:p>
      <w:pPr>
        <w:pStyle w:val="2"/>
        <w:numPr>
          <w:ilvl w:val="0"/>
          <w:numId w:val="1"/>
        </w:numPr>
        <w:spacing w:after="0"/>
        <w:ind w:left="374" w:hanging="374"/>
      </w:pPr>
      <w:r>
        <w:rPr>
          <w:rFonts w:hint="eastAsia"/>
        </w:rPr>
        <w:t>发明目的：</w:t>
      </w:r>
    </w:p>
    <w:p>
      <w:pPr>
        <w:pStyle w:val="2"/>
        <w:numPr>
          <w:ilvl w:val="0"/>
          <w:numId w:val="1"/>
        </w:numPr>
        <w:spacing w:after="0"/>
        <w:ind w:left="374" w:hanging="374"/>
      </w:pPr>
      <w:r>
        <w:rPr>
          <w:rFonts w:hint="eastAsia"/>
        </w:rPr>
        <w:t>技术方案：</w:t>
      </w:r>
    </w:p>
    <w:p>
      <w:pPr>
        <w:ind w:left="0" w:leftChars="0" w:firstLine="0" w:firstLineChars="0"/>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t>ghOSt是在Linux内核之上实现的通用调度策略委托。ghOSt框架提供了一个丰富的API，可以从用户空间接收进程的调度决策并将它们作为事务来执行。程序员可以使用任何语言或工具来开发策略，无需重启机器即可升级。ghOSt支持一系列调度目标的策略，从微秒级延迟到吞吐量，再到能源效率等等，并且调度操作的开销很低。许多策略只是几百行代码。总的来说，ghOSt提供了一个高性能框架，用于将线程调度策略委托给用户空间进程，从而实现策略优化、无中断升级和故障隔离。</w:t>
      </w:r>
    </w:p>
    <w:p>
      <w:pPr>
        <w:ind w:left="0" w:leftChars="0" w:firstLine="0" w:firstLineChars="0"/>
        <w:rPr>
          <w:rFonts w:hint="eastAsia"/>
        </w:rPr>
      </w:pP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概述</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本文来自谷歌，是继Snap用户态协议栈后的用户态调度——ghOSt。ghOSt用于满足谷歌数据中心复杂和平台快速演化的需求。</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改善调度可以很好地提高负载的吞吐量、可扩展性同时降低尾延迟。最近研究表明，在DataPlaneOS中使用定制化的调度策略可以在数据中心建设后达到良好的性能效果提升。然而，以应用程序为粒度来部署自定义OSimages是不符合实际的，就是说不可能指望这个定制系统的物理机上都跑都同一类调度需求的应用，尤其是在多租户环境中。这就极大地限制了新技术的实际应用。ghOSt提供了通用的调度策略并托管给userspace进程。ghOSt提供状态封装、通信和action机制，允许在用户态代理中表达复杂策略。程序员可以使用任何语言来开发和优化策略。</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背景与目标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现在云场景下workloads种类越来越多，场景需求越来越多，所以原本一个总体的调度策略又要兼顾大部分workloads的性能，又要满足部分workloads的特殊需求，这是非常困难的一件事情。并且就算开发成功，每次升级调度策略也都要重启整个host，带来了很大的开销和应用down-time。</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之前那些想要通过设计用户态解决方案来提高性能和降低kernel复杂度的工作都有着很大的短板：</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需要对应用的实现进行修改；</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需要专门的资源才能快速响应；</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需要对特定的kernel和版本进行修改。</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于是本文提出ghost系统的目标：</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调度策略应当实现和测试容易</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调度需要有效、广泛</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突破per-CPU调度模型的限制</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支持同时多个调度策略</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bdr w:val="none" w:color="auto" w:sz="0" w:space="0"/>
          <w:shd w:val="clear" w:fill="FFFFFF"/>
        </w:rPr>
        <w:t>升级不需要重启host和错误隔离</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设计与实现</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如下图所示。userspace的agent做出调度决定并且指导kernel如何在CPU上调度native线程。ghost的kernel部分被实现为一个调度class，就类似常用的CFSclass。这个schedulingclass向userspace提供丰富的API来定义任意调度策略。为了帮助agents做出调度决定，kernel向agent导出线程的状态，通过</w:t>
      </w:r>
      <w:r>
        <w:rPr>
          <w:rStyle w:val="11"/>
          <w:rFonts w:hint="eastAsia" w:asciiTheme="minorEastAsia" w:hAnsiTheme="minorEastAsia" w:eastAsiaTheme="minorEastAsia" w:cstheme="minorEastAsia"/>
          <w:i w:val="0"/>
          <w:iCs w:val="0"/>
          <w:caps w:val="0"/>
          <w:color w:val="121212"/>
          <w:spacing w:val="0"/>
          <w:sz w:val="24"/>
          <w:szCs w:val="24"/>
          <w:bdr w:val="none" w:color="auto" w:sz="0" w:space="0"/>
          <w:shd w:val="clear" w:fill="F6F6F6"/>
        </w:rPr>
        <w:t>messages</w:t>
      </w:r>
      <w:r>
        <w:rPr>
          <w:rFonts w:hint="eastAsia" w:asciiTheme="minorEastAsia" w:hAnsiTheme="minorEastAsia" w:eastAsiaTheme="minorEastAsia" w:cstheme="minorEastAsia"/>
          <w:i w:val="0"/>
          <w:iCs w:val="0"/>
          <w:caps w:val="0"/>
          <w:color w:val="121212"/>
          <w:spacing w:val="0"/>
          <w:sz w:val="24"/>
          <w:szCs w:val="24"/>
          <w:shd w:val="clear" w:fill="FFFFFF"/>
        </w:rPr>
        <w:t>和</w:t>
      </w:r>
      <w:r>
        <w:rPr>
          <w:rStyle w:val="11"/>
          <w:rFonts w:hint="eastAsia" w:asciiTheme="minorEastAsia" w:hAnsiTheme="minorEastAsia" w:eastAsiaTheme="minorEastAsia" w:cstheme="minorEastAsia"/>
          <w:i w:val="0"/>
          <w:iCs w:val="0"/>
          <w:caps w:val="0"/>
          <w:color w:val="121212"/>
          <w:spacing w:val="0"/>
          <w:sz w:val="24"/>
          <w:szCs w:val="24"/>
          <w:bdr w:val="none" w:color="auto" w:sz="0" w:space="0"/>
          <w:shd w:val="clear" w:fill="F6F6F6"/>
        </w:rPr>
        <w:t>statuswords</w:t>
      </w:r>
      <w:r>
        <w:rPr>
          <w:rFonts w:hint="eastAsia" w:asciiTheme="minorEastAsia" w:hAnsiTheme="minorEastAsia" w:eastAsiaTheme="minorEastAsia" w:cstheme="minorEastAsia"/>
          <w:i w:val="0"/>
          <w:iCs w:val="0"/>
          <w:caps w:val="0"/>
          <w:color w:val="121212"/>
          <w:spacing w:val="0"/>
          <w:sz w:val="24"/>
          <w:szCs w:val="24"/>
          <w:shd w:val="clear" w:fill="FFFFFF"/>
        </w:rPr>
        <w:t>。agents然后通过</w:t>
      </w:r>
      <w:r>
        <w:rPr>
          <w:rStyle w:val="11"/>
          <w:rFonts w:hint="eastAsia" w:asciiTheme="minorEastAsia" w:hAnsiTheme="minorEastAsia" w:eastAsiaTheme="minorEastAsia" w:cstheme="minorEastAsia"/>
          <w:i w:val="0"/>
          <w:iCs w:val="0"/>
          <w:caps w:val="0"/>
          <w:color w:val="121212"/>
          <w:spacing w:val="0"/>
          <w:sz w:val="24"/>
          <w:szCs w:val="24"/>
          <w:bdr w:val="none" w:color="auto" w:sz="0" w:space="0"/>
          <w:shd w:val="clear" w:fill="F6F6F6"/>
        </w:rPr>
        <w:t>transactions</w:t>
      </w:r>
      <w:r>
        <w:rPr>
          <w:rFonts w:hint="eastAsia" w:asciiTheme="minorEastAsia" w:hAnsiTheme="minorEastAsia" w:eastAsiaTheme="minorEastAsia" w:cstheme="minorEastAsia"/>
          <w:i w:val="0"/>
          <w:iCs w:val="0"/>
          <w:caps w:val="0"/>
          <w:color w:val="121212"/>
          <w:spacing w:val="0"/>
          <w:sz w:val="24"/>
          <w:szCs w:val="24"/>
          <w:shd w:val="clear" w:fill="FFFFFF"/>
        </w:rPr>
        <w:t>和</w:t>
      </w:r>
      <w:r>
        <w:rPr>
          <w:rStyle w:val="11"/>
          <w:rFonts w:hint="eastAsia" w:asciiTheme="minorEastAsia" w:hAnsiTheme="minorEastAsia" w:eastAsiaTheme="minorEastAsia" w:cstheme="minorEastAsia"/>
          <w:i w:val="0"/>
          <w:iCs w:val="0"/>
          <w:caps w:val="0"/>
          <w:color w:val="121212"/>
          <w:spacing w:val="0"/>
          <w:sz w:val="24"/>
          <w:szCs w:val="24"/>
          <w:bdr w:val="none" w:color="auto" w:sz="0" w:space="0"/>
          <w:shd w:val="clear" w:fill="F6F6F6"/>
        </w:rPr>
        <w:t>systemcalls</w:t>
      </w:r>
      <w:r>
        <w:rPr>
          <w:rFonts w:hint="eastAsia" w:asciiTheme="minorEastAsia" w:hAnsiTheme="minorEastAsia" w:eastAsiaTheme="minorEastAsia" w:cstheme="minorEastAsia"/>
          <w:i w:val="0"/>
          <w:iCs w:val="0"/>
          <w:caps w:val="0"/>
          <w:color w:val="121212"/>
          <w:spacing w:val="0"/>
          <w:sz w:val="24"/>
          <w:szCs w:val="24"/>
          <w:shd w:val="clear" w:fill="FFFFFF"/>
        </w:rPr>
        <w:t>向kernel传递数据。</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36670" cy="2187575"/>
            <wp:effectExtent l="0" t="0" r="1143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3836670" cy="218757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整个系统的调度架构如下图所示，ghost可以设置起多个</w:t>
      </w:r>
      <w:r>
        <w:rPr>
          <w:rStyle w:val="11"/>
          <w:rFonts w:hint="eastAsia" w:asciiTheme="minorEastAsia" w:hAnsiTheme="minorEastAsia" w:eastAsiaTheme="minorEastAsia" w:cstheme="minorEastAsia"/>
          <w:i w:val="0"/>
          <w:iCs w:val="0"/>
          <w:caps w:val="0"/>
          <w:color w:val="121212"/>
          <w:spacing w:val="0"/>
          <w:sz w:val="24"/>
          <w:szCs w:val="24"/>
          <w:bdr w:val="none" w:color="auto" w:sz="0" w:space="0"/>
          <w:shd w:val="clear" w:fill="F6F6F6"/>
        </w:rPr>
        <w:t>enclave</w:t>
      </w:r>
      <w:r>
        <w:rPr>
          <w:rFonts w:hint="eastAsia" w:asciiTheme="minorEastAsia" w:hAnsiTheme="minorEastAsia" w:eastAsiaTheme="minorEastAsia" w:cstheme="minorEastAsia"/>
          <w:i w:val="0"/>
          <w:iCs w:val="0"/>
          <w:caps w:val="0"/>
          <w:color w:val="121212"/>
          <w:spacing w:val="0"/>
          <w:sz w:val="24"/>
          <w:szCs w:val="24"/>
          <w:shd w:val="clear" w:fill="FFFFFF"/>
        </w:rPr>
        <w:t>，每个enclave中可以运行不同的调度策略。ghost内核模块会将调度的决定逻辑托管给运行在每个物理CPU上的ghostagent。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5586730" cy="1497965"/>
            <wp:effectExtent l="0" t="0" r="13970" b="698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16"/>
                    <a:stretch>
                      <a:fillRect/>
                    </a:stretch>
                  </pic:blipFill>
                  <pic:spPr>
                    <a:xfrm>
                      <a:off x="0" y="0"/>
                      <a:ext cx="5586730" cy="149796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如果该enclave采用per-CPU的调度策略，则ghost内核模块会向各个cpu上的ghostagent分别提供必要的线程信息。如果该enclave采用Centralized的调度策略，则该enclave中仅有一个ghostagent会生效，所有的调度信息也仅会提供给它。</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测试评估</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Theme="minorEastAsia" w:hAnsiTheme="minorEastAsia" w:eastAsiaTheme="minorEastAsia" w:cstheme="minorEastAsia"/>
          <w:b/>
          <w:bCs/>
          <w:i w:val="0"/>
          <w:iCs w:val="0"/>
          <w:caps w:val="0"/>
          <w:color w:val="121212"/>
          <w:spacing w:val="0"/>
          <w:sz w:val="24"/>
          <w:szCs w:val="24"/>
          <w:shd w:val="clear" w:fill="FFFFFF"/>
        </w:rPr>
        <w:t>ghost的额外开销：</w:t>
      </w:r>
      <w:r>
        <w:rPr>
          <w:rFonts w:hint="eastAsia" w:asciiTheme="minorEastAsia" w:hAnsiTheme="minorEastAsia" w:eastAsiaTheme="minorEastAsia" w:cstheme="minorEastAsia"/>
          <w:i w:val="0"/>
          <w:iCs w:val="0"/>
          <w:caps w:val="0"/>
          <w:color w:val="121212"/>
          <w:spacing w:val="0"/>
          <w:sz w:val="24"/>
          <w:szCs w:val="24"/>
          <w:shd w:val="clear" w:fill="FFFFFF"/>
        </w:rPr>
        <w:t>首先思考下，哪些操作在传统调度器里是没有的，仅仅只存在于ghost？那么这些操作就是overhead，如下图所示：</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72865" cy="3037205"/>
            <wp:effectExtent l="0" t="0" r="13335" b="1079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7"/>
                    <a:stretch>
                      <a:fillRect/>
                    </a:stretch>
                  </pic:blipFill>
                  <pic:spPr>
                    <a:xfrm>
                      <a:off x="0" y="0"/>
                      <a:ext cx="3872865" cy="303720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Centralized场景下globalagent的可扩展性：</w:t>
      </w:r>
      <w:r>
        <w:rPr>
          <w:rFonts w:hint="eastAsia" w:asciiTheme="minorEastAsia" w:hAnsiTheme="minorEastAsia" w:eastAsiaTheme="minorEastAsia" w:cstheme="minorEastAsia"/>
          <w:i w:val="0"/>
          <w:iCs w:val="0"/>
          <w:caps w:val="0"/>
          <w:color w:val="121212"/>
          <w:spacing w:val="0"/>
          <w:sz w:val="24"/>
          <w:szCs w:val="24"/>
          <w:shd w:val="clear" w:fill="FFFFFF"/>
        </w:rPr>
        <w:t>根据agentoverhead可以计算出在这个intel机器上如果用globalagent占用一个核心来管理的话，可以大约每秒在100个核心上各管理252000个任务，每个任务每次被调度后运行40us。</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当然上面的只是理论上，本文实验了下globalagent，实验机器配置为2*socket，28core/socket，2logicalcore/core。</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780155" cy="2640330"/>
            <wp:effectExtent l="0" t="0" r="10795"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8"/>
                    <a:stretch>
                      <a:fillRect/>
                    </a:stretch>
                  </pic:blipFill>
                  <pic:spPr>
                    <a:xfrm>
                      <a:off x="0" y="0"/>
                      <a:ext cx="3780155" cy="2640330"/>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第一段上升说明了越来越多cpu可以被用来调度</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第二段下降了一下是因为此时已经是测试机单个socket的28核了打开超线程，允许globalagent和别的ghost线程一起运行在同一个物理核上，所以globalagent虽然受影响了，但是还能继续上升。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第三阶段，等到了56cpu左右，超线程也用完后开始跨socket进行调度，这时候受NUMA影响，agent对numa节点上的CPU进行调度时需要内存操作核发送跨numasockets的interrupt，从而导致每次操作开销都更大，引起agent的吞吐量下降。</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与谷歌内部的MicroQuanto对比：</w:t>
      </w:r>
      <w:r>
        <w:rPr>
          <w:rFonts w:hint="eastAsia" w:asciiTheme="minorEastAsia" w:hAnsiTheme="minorEastAsia" w:eastAsiaTheme="minorEastAsia" w:cstheme="minorEastAsia"/>
          <w:i w:val="0"/>
          <w:iCs w:val="0"/>
          <w:caps w:val="0"/>
          <w:color w:val="121212"/>
          <w:spacing w:val="0"/>
          <w:sz w:val="24"/>
          <w:szCs w:val="24"/>
          <w:shd w:val="clear" w:fill="FFFFFF"/>
        </w:rPr>
        <w:t>google把ghost和内部的kernelschedulerMicroQuanta进行对比，这个MicroQuanta是一个软实时的kernelscheduler用来管理snap框架，这个snap框架类似dpdk，需要维护一些polling线程来和网卡交互或是实现一些定制化的网络和安全协议。snap会根据网络负载来新增或减少polling的线程。</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731260" cy="2849880"/>
            <wp:effectExtent l="0" t="0" r="254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9"/>
                    <a:stretch>
                      <a:fillRect/>
                    </a:stretch>
                  </pic:blipFill>
                  <pic:spPr>
                    <a:xfrm>
                      <a:off x="0" y="0"/>
                      <a:ext cx="3731260" cy="2849880"/>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测试结果如上图7所示,在处理64B的网络包时ghost的时延会比MicroQuanta差10%是因为小数据包的处理时间很短所以ghost进出userspace的开销就会变得明显。处理64KB大小的网络包时，ghost的时延会更好则是因为ghost能跨cpu进行负载均衡。</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在谷歌搜索业务场景下的测试：</w:t>
      </w:r>
      <w:r>
        <w:rPr>
          <w:rFonts w:hint="eastAsia" w:asciiTheme="minorEastAsia" w:hAnsiTheme="minorEastAsia" w:eastAsiaTheme="minorEastAsia" w:cstheme="minorEastAsia"/>
          <w:i w:val="0"/>
          <w:iCs w:val="0"/>
          <w:caps w:val="0"/>
          <w:color w:val="121212"/>
          <w:spacing w:val="0"/>
          <w:sz w:val="24"/>
          <w:szCs w:val="24"/>
          <w:shd w:val="clear" w:fill="FFFFFF"/>
        </w:rPr>
        <w:t>在谷歌搜索的workload上（数据库查询workload）进行测试，当前googlesearch使用的是CFS，实验环境下换成ghost后经过优化，可将ghost的吞吐量达到与原本CFS相媲美的程度，但是能够在latency上有40-45%的提升，作者也将它归因于是ghost的globalagent能够带来比传统per-CPU调度更好的负载均衡。</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2835910" cy="3967480"/>
            <wp:effectExtent l="0" t="0" r="2540" b="1397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20"/>
                    <a:stretch>
                      <a:fillRect/>
                    </a:stretch>
                  </pic:blipFill>
                  <pic:spPr>
                    <a:xfrm>
                      <a:off x="0" y="0"/>
                      <a:ext cx="2835910" cy="3967480"/>
                    </a:xfrm>
                    <a:prstGeom prst="rect">
                      <a:avLst/>
                    </a:prstGeom>
                    <a:noFill/>
                    <a:ln w="9525">
                      <a:noFill/>
                    </a:ln>
                  </pic:spPr>
                </pic:pic>
              </a:graphicData>
            </a:graphic>
          </wp:inline>
        </w:drawing>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eastAsia="华文宋体"/>
          <w:lang w:eastAsia="zh-CN"/>
        </w:rPr>
      </w:pPr>
      <w:r>
        <w:rPr>
          <w:rFonts w:hint="eastAsia"/>
          <w:b/>
          <w:bCs/>
          <w:color w:val="FF0000"/>
          <w:highlight w:val="cyan"/>
          <w:lang w:eastAsia="zh-CN"/>
        </w:rPr>
        <w:t>——————————————————————————————————</w:t>
      </w:r>
    </w:p>
    <w:p>
      <w:pPr>
        <w:rPr>
          <w:rFonts w:hint="eastAsia"/>
        </w:rPr>
      </w:pPr>
      <w:r>
        <w:rPr>
          <w:rFonts w:hint="eastAsia"/>
        </w:rPr>
        <w:t>3设计</w:t>
      </w:r>
    </w:p>
    <w:p>
      <w:pPr>
        <w:rPr>
          <w:rFonts w:hint="eastAsia"/>
        </w:rPr>
      </w:pPr>
      <w:r>
        <w:drawing>
          <wp:inline distT="0" distB="0" distL="114300" distR="114300">
            <wp:extent cx="4410075" cy="2162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4410075" cy="2162175"/>
                    </a:xfrm>
                    <a:prstGeom prst="rect">
                      <a:avLst/>
                    </a:prstGeom>
                    <a:noFill/>
                    <a:ln>
                      <a:noFill/>
                    </a:ln>
                  </pic:spPr>
                </pic:pic>
              </a:graphicData>
            </a:graphic>
          </wp:inline>
        </w:drawing>
      </w:r>
    </w:p>
    <w:p>
      <w:pPr>
        <w:rPr>
          <w:rFonts w:hint="eastAsia"/>
        </w:rPr>
      </w:pPr>
      <w:r>
        <w:rPr>
          <w:rFonts w:hint="eastAsia"/>
          <w:lang w:val="en-US" w:eastAsia="zh-CN"/>
        </w:rPr>
        <w:t>g</w:t>
      </w:r>
      <w:r>
        <w:rPr>
          <w:rFonts w:hint="eastAsia"/>
        </w:rPr>
        <w:t>h</w:t>
      </w:r>
      <w:r>
        <w:rPr>
          <w:rFonts w:hint="eastAsia"/>
          <w:lang w:val="en-US" w:eastAsia="zh-CN"/>
        </w:rPr>
        <w:t>OS</w:t>
      </w:r>
      <w:r>
        <w:rPr>
          <w:rFonts w:hint="eastAsia"/>
        </w:rPr>
        <w:t>t概览。图1总结了ghOSt设计。用户空间代理做出调度决策，并指示内核如何在cpu上调度本机线程。ghOSt的内核端被实现为一个调度类，类似于常用的CFS类。这个调度类为用户空间代码提供了丰富的API来定义任意的调度策略。为了帮助代理做出调度决策，内核通过消息和状态词向代理公开线程状态(</w:t>
      </w:r>
      <w:r>
        <w:rPr>
          <w:rFonts w:hint="eastAsia"/>
          <w:lang w:val="en-US" w:eastAsia="zh-CN"/>
        </w:rPr>
        <w:t>详见</w:t>
      </w:r>
      <w:r>
        <w:rPr>
          <w:rFonts w:hint="eastAsia"/>
        </w:rPr>
        <w:t>3.1)。然后，代理通过事务和系统调用(</w:t>
      </w:r>
      <w:r>
        <w:rPr>
          <w:rFonts w:hint="eastAsia"/>
          <w:lang w:val="en-US" w:eastAsia="zh-CN"/>
        </w:rPr>
        <w:t>详见</w:t>
      </w:r>
      <w:r>
        <w:rPr>
          <w:rFonts w:hint="eastAsia"/>
        </w:rPr>
        <w:t>3.2)指示内核进行调度决策。</w:t>
      </w:r>
    </w:p>
    <w:p>
      <w:pPr>
        <w:rPr>
          <w:rFonts w:hint="eastAsia"/>
        </w:rPr>
      </w:pPr>
      <w:r>
        <w:rPr>
          <w:rFonts w:hint="eastAsia"/>
        </w:rPr>
        <w:t>在本节中，我将使用两个激励人心的例子:</w:t>
      </w:r>
      <w:r>
        <w:rPr>
          <w:rFonts w:hint="eastAsia"/>
          <w:lang w:val="en-US" w:eastAsia="zh-CN"/>
        </w:rPr>
        <w:t>per-CPU</w:t>
      </w:r>
      <w:r>
        <w:rPr>
          <w:rFonts w:hint="eastAsia"/>
        </w:rPr>
        <w:t>调度和集中式调度。经典的内核调度策略(如CFS)是</w:t>
      </w:r>
      <w:r>
        <w:rPr>
          <w:rFonts w:hint="eastAsia"/>
          <w:lang w:val="en-US" w:eastAsia="zh-CN"/>
        </w:rPr>
        <w:t>per-CPU</w:t>
      </w:r>
      <w:r>
        <w:rPr>
          <w:rFonts w:hint="eastAsia"/>
        </w:rPr>
        <w:t>调度器。虽然这些策略通常使用负载平衡和工作窃取来平衡整个系统的负载，但它们仍然是从</w:t>
      </w:r>
      <w:r>
        <w:rPr>
          <w:rFonts w:hint="eastAsia"/>
          <w:lang w:val="en-US" w:eastAsia="zh-CN"/>
        </w:rPr>
        <w:t>per-CPU</w:t>
      </w:r>
      <w:r>
        <w:rPr>
          <w:rFonts w:hint="eastAsia"/>
        </w:rPr>
        <w:t>的角度来操作的。</w:t>
      </w:r>
    </w:p>
    <w:p>
      <w:pPr>
        <w:rPr>
          <w:rFonts w:hint="eastAsia"/>
        </w:rPr>
      </w:pPr>
    </w:p>
    <w:p>
      <w:pPr>
        <w:rPr>
          <w:rFonts w:hint="eastAsia"/>
        </w:rPr>
      </w:pPr>
      <w:r>
        <w:rPr>
          <w:rFonts w:hint="eastAsia"/>
        </w:rPr>
        <w:t>集中调度的例子类似于Shinjuku[25]、Shenango[1]和Caladan[21]中提出的模型。在这种情况下，有一个单一的全局实体不断地观察整个系统，并为其权限内的所有线程和cpu做出调度决策。</w:t>
      </w:r>
    </w:p>
    <w:p>
      <w:pPr>
        <w:rPr>
          <w:rFonts w:hint="eastAsia"/>
        </w:rPr>
      </w:pPr>
      <w:r>
        <w:rPr>
          <w:rFonts w:hint="eastAsia"/>
        </w:rPr>
        <w:t>线程和cpu。ghOSt在cpu上调度本机线程。本节中提到的所有线程都是本地线程，与§2中提到的用户级线程相反。我们将逻辑执行单元称为cpu。例如，我们认为具有56个物理核和112个逻辑核(超线程)的机器有112个cpu。</w:t>
      </w:r>
    </w:p>
    <w:p>
      <w:pPr>
        <w:rPr>
          <w:rFonts w:hint="eastAsia"/>
        </w:rPr>
      </w:pPr>
      <w:r>
        <w:rPr>
          <w:rFonts w:hint="eastAsia"/>
        </w:rPr>
        <w:t>对机器进行分区。ghOSt使用enclave在一台机器上支持多个并发策略。一个系统</w:t>
      </w:r>
    </w:p>
    <w:p>
      <w:pPr>
        <w:rPr>
          <w:rFonts w:hint="eastAsia"/>
        </w:rPr>
      </w:pPr>
      <w:r>
        <w:rPr>
          <w:rFonts w:hint="eastAsia"/>
        </w:rPr>
        <w:t>可以按CPU粒度划分为多个独立的飞地，每个飞地运行自己的策略，如图2所示。从调度的角度来看，这些enclave是隔离的。分区是有意义的，特别是当在一台机器上运行不同的工作负载时。通过机器拓扑设置这些enclencle的粒度通常很有用，例如per-NUMA-socket或per-AMD-CCX[40]。enclave还有助于隔离错误，限制代理崩溃对它所属的enclave的伤害(参见§3.4)。</w:t>
      </w:r>
    </w:p>
    <w:p>
      <w:pPr>
        <w:rPr>
          <w:rFonts w:hint="eastAsia"/>
        </w:rPr>
      </w:pPr>
      <w:r>
        <w:rPr>
          <w:rFonts w:hint="eastAsia"/>
        </w:rPr>
        <w:t>ghOSt用户空间代理。为了实现我们的许多设计目标，调度策略逻辑是在用户空间代理中实现的。这些代理可以用任何语言编写，并通过标准工具进行调试，使它们更容易实现和测试。为了实现容错和隔离，如果一个或几个代理崩溃，系统将退回到默认的调度器，比如CFS。然后，在启动新的ghOSt用户空间代理时，机器仍然完全正常工作-要么是最后一个已知的稳定版本，要么</w:t>
      </w:r>
      <w:bookmarkStart w:id="0" w:name="_GoBack"/>
      <w:bookmarkEnd w:id="0"/>
      <w:r>
        <w:rPr>
          <w:rFonts w:hint="eastAsia"/>
        </w:rPr>
        <w:t>是带有修复的更新版本。</w:t>
      </w:r>
    </w:p>
    <w:p>
      <w:pPr>
        <w:rPr>
          <w:rFonts w:hint="eastAsia"/>
        </w:rPr>
      </w:pPr>
      <w:r>
        <w:rPr>
          <w:rFonts w:hint="eastAsia"/>
        </w:rPr>
        <w:t>多亏了崩溃恢复属性，更新调度策略相当于重新启动用户空间代理，而不必重新启动机器。这个属性允许针对各种硬件和工作负载进行试验和快速的策略定制。开发人员可以进行策略调整，并简单地重新启动代理。ghOSt策略的动态更新在§3.4中讨论。</w:t>
      </w:r>
    </w:p>
    <w:p>
      <w:pPr>
        <w:rPr>
          <w:rFonts w:hint="eastAsia"/>
        </w:rPr>
      </w:pPr>
      <w:r>
        <w:rPr>
          <w:rFonts w:hint="eastAsia"/>
        </w:rPr>
        <w:t>不管调度模型是每CPU调度还是集中式调度，ghOSt管理的每个CPU都有一个本地代理，如图2所示。在每CPU情况下，每个代理负责自己CPU的线程调度决策。在集中式情况下，单个全局代理负责调度飞地内的所有cpu。所有其他本地代理都是不活动的。每个代理都在Linuxpthread中实现，所有代理都属于同一个用户空间进程。</w:t>
      </w:r>
    </w:p>
    <w:p>
      <w:pPr>
        <w:ind w:left="0" w:leftChars="0" w:firstLine="0" w:firstLineChars="0"/>
        <w:rPr>
          <w:rFonts w:hint="eastAsia"/>
        </w:rPr>
      </w:pPr>
    </w:p>
    <w:p>
      <w:pPr>
        <w:rPr>
          <w:rFonts w:hint="eastAsia"/>
        </w:rPr>
      </w:pPr>
    </w:p>
    <w:p>
      <w:pPr>
        <w:rPr>
          <w:rFonts w:hint="eastAsia"/>
        </w:rPr>
      </w:pPr>
      <w:r>
        <w:rPr>
          <w:rFonts w:hint="eastAsia"/>
        </w:rPr>
        <w:t>3.1内核到代理的通信</w:t>
      </w:r>
    </w:p>
    <w:p>
      <w:pPr>
        <w:rPr>
          <w:rFonts w:hint="eastAsia"/>
        </w:rPr>
      </w:pPr>
      <w:r>
        <w:rPr>
          <w:rFonts w:hint="eastAsia"/>
        </w:rPr>
        <w:t>将线程状态暴露给代理。为了让代理为其权限范围内的线程做出调度决策，内核必须向代理公开线程状态。一种方法是将现有的内核数据结构内存映射到用户空间，比如task_structs，这样代理就可以检查它们来推断线程状态。然而，这些数据结构的可用性和格式因内核和内核版本而异，用户空间策略实现与内核版本紧密耦合。另一种方法</w:t>
      </w:r>
    </w:p>
    <w:p>
      <w:pPr>
        <w:rPr>
          <w:rFonts w:hint="eastAsia"/>
        </w:rPr>
      </w:pPr>
      <w:r>
        <w:rPr>
          <w:rFonts w:hint="eastAsia"/>
        </w:rPr>
        <w:t>是通过sysfs文件公开线程状态，在/proc/pid/…时尚。然而，文件系统api对于快速路径操作来说效率很低，很难得到支持</w:t>
      </w:r>
      <w:r>
        <w:rPr>
          <w:rFonts w:hint="eastAsia"/>
        </w:rPr>
        <w:tab/>
      </w:r>
      <w:r>
        <w:rPr>
          <w:rFonts w:hint="eastAsia"/>
        </w:rPr>
        <w:t>s-scale策略:open/read/fseek，最初是为块设备设计的，太慢且太复杂(例如，需要错误处理和数据解析)。</w:t>
      </w:r>
    </w:p>
    <w:p>
      <w:pPr>
        <w:rPr>
          <w:rFonts w:hint="eastAsia"/>
        </w:rPr>
      </w:pPr>
      <w:r>
        <w:rPr>
          <w:rFonts w:hint="eastAsia"/>
        </w:rPr>
        <w:t>最终，我们需要一个既快速又不依赖底层内核线程实现的内核用户空间API。受到分布式系统的启发，我们使用消息作为一种高效而简单的解决方案。</w:t>
      </w:r>
    </w:p>
    <w:p>
      <w:pPr>
        <w:rPr>
          <w:rFonts w:hint="eastAsia"/>
        </w:rPr>
      </w:pPr>
    </w:p>
    <w:p>
      <w:pPr>
        <w:ind w:left="0" w:leftChars="0" w:firstLine="0" w:firstLineChars="0"/>
        <w:rPr>
          <w:rFonts w:hint="eastAsia"/>
        </w:rPr>
      </w:pPr>
      <w:r>
        <w:rPr>
          <w:rFonts w:hint="eastAsia"/>
        </w:rPr>
        <w:t>ghOSt信息。在ghOSt中，内核使用表1中列出的消息通知用户空间代理线程状态的更改。例如，如果一个线程被阻塞，现在准备运行，内核会发布一条THREAD_WAKEUP消息。此外，内核用TIMER_TICK消息通知代理计时器滴答。为了帮助代理验证他们正在根据最新的状态做出决策，消息也有序列号，后面会解释。</w:t>
      </w:r>
    </w:p>
    <w:p>
      <w:pPr>
        <w:ind w:left="0" w:leftChars="0" w:firstLine="0" w:firstLineChars="0"/>
        <w:rPr>
          <w:rFonts w:hint="eastAsia"/>
        </w:rPr>
      </w:pPr>
      <w:r>
        <w:rPr>
          <w:rFonts w:hint="eastAsia"/>
        </w:rPr>
        <w:t>消息队列。消息通过消息队列传递给座席。在ghOSt下调度的每个线程都被分配到一个队列，关于该线程状态变化的所有消息都被发送到该队列。在每CPU示例中，每个线程被分配到一个队列，该队列与它打算运行的CPU对应(图2，左)。在集中式的例子中，所有线程都被分配到全局队列(图2，右)。CPU事件(如TIMER_TICK)的消息被路由到与CPU相关的代理线程的队列。</w:t>
      </w:r>
    </w:p>
    <w:p>
      <w:pPr>
        <w:ind w:left="0" w:leftChars="0" w:firstLine="0" w:firstLineChars="0"/>
        <w:rPr>
          <w:rFonts w:hint="eastAsia"/>
        </w:rPr>
      </w:pPr>
      <w:r>
        <w:rPr>
          <w:rFonts w:hint="eastAsia"/>
        </w:rPr>
        <w:t>虽然实现队列的方法有很多，但我们选择在共享内存中使用自定义队列来高效地处理代理唤醒(下文将进行解释)。我们认为现有的队列机制对于ghOSt是不够的，因为它们只存在于特定的内核版本中。例如，BPF系统通过BPF环缓冲区将BPF事件传递给用户空间[65]，最近版本的Linux也通过io_urings将异步I/O消息传递给用户空间[66]。这些都是同步消费者/生产者访问的快速无锁环缓冲区。然而，旧的Linux内核和其他操作系统不支持它们。</w:t>
      </w:r>
    </w:p>
    <w:p>
      <w:pPr>
        <w:ind w:left="0" w:leftChars="0" w:firstLine="0" w:firstLineChars="0"/>
        <w:rPr>
          <w:rFonts w:hint="eastAsia"/>
        </w:rPr>
      </w:pPr>
      <w:r>
        <w:rPr>
          <w:rFonts w:hint="eastAsia"/>
        </w:rPr>
        <w:t>Thread-to-queue协会。ghOSt飞地初始化后，飞地中只有一个默认队列。代理进程可以使用create/DESTROY_QUEUE()API创建/销毁队列。添加到ghOSt的线程被隐式分配给将消息发送到默认队列。代理可以通过ASSOCIATE_QUEUE()来改变这个分配。</w:t>
      </w:r>
    </w:p>
    <w:p>
      <w:pPr>
        <w:ind w:left="0" w:leftChars="0" w:firstLine="0" w:firstLineChars="0"/>
        <w:rPr>
          <w:rFonts w:hint="eastAsia"/>
        </w:rPr>
      </w:pPr>
      <w:r>
        <w:rPr>
          <w:rFonts w:hint="eastAsia"/>
        </w:rPr>
        <w:t>Queue-to-agent协会。队列可以有选择地配置为当消息产生到队列中时唤醒一个或多个代理。代理可以通过CONFIG_QUEUE_WAKEUP()配置唤醒行为。在每CPU示例中，每个队列只与一个CPU关联，并被配置为唤醒相应的代理。在集中式的例子中，队列由全局代理连续轮询，因此唤醒是冗余的，因此没有配置。产生消息到队列中并在代理中观察它的延迟在§4.1中讨论了。</w:t>
      </w:r>
    </w:p>
    <w:p>
      <w:pPr>
        <w:ind w:left="0" w:leftChars="0" w:firstLine="0" w:firstLineChars="0"/>
        <w:rPr>
          <w:rFonts w:hint="eastAsia"/>
        </w:rPr>
      </w:pPr>
      <w:r>
        <w:rPr>
          <w:rFonts w:hint="eastAsia"/>
        </w:rPr>
        <w:t>代理唤醒使用标准的内核机制来唤醒阻塞的线程。这包括识别要唤醒的代理线程，将其标记为可运行的，可选地向目标CPU发送中断以触发重新调度，以及执行到代理线程的上下文切换。</w:t>
      </w:r>
    </w:p>
    <w:p>
      <w:pPr>
        <w:ind w:left="0" w:leftChars="0" w:firstLine="0" w:firstLineChars="0"/>
        <w:rPr>
          <w:rFonts w:hint="eastAsia"/>
        </w:rPr>
      </w:pPr>
      <w:r>
        <w:rPr>
          <w:rFonts w:hint="eastAsia"/>
        </w:rPr>
        <w:t>在队列/CPU之间移动线程。在我们的每个CPU示例中，为了在CPU之间实现负载平衡和工作窃取，代理可以更改消息的路由</w:t>
      </w:r>
    </w:p>
    <w:p>
      <w:pPr>
        <w:ind w:left="0" w:leftChars="0" w:firstLine="0" w:firstLineChars="0"/>
        <w:rPr>
          <w:rFonts w:hint="eastAsia"/>
        </w:rPr>
      </w:pPr>
      <w:r>
        <w:drawing>
          <wp:inline distT="0" distB="0" distL="114300" distR="114300">
            <wp:extent cx="346710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3467100" cy="2095500"/>
                    </a:xfrm>
                    <a:prstGeom prst="rect">
                      <a:avLst/>
                    </a:prstGeom>
                    <a:noFill/>
                    <a:ln>
                      <a:noFill/>
                    </a:ln>
                  </pic:spPr>
                </pic:pic>
              </a:graphicData>
            </a:graphic>
          </wp:inline>
        </w:drawing>
      </w:r>
    </w:p>
    <w:p>
      <w:pPr>
        <w:ind w:left="0" w:leftChars="0" w:firstLine="0" w:firstLineChars="0"/>
        <w:rPr>
          <w:rFonts w:hint="eastAsia"/>
        </w:rPr>
      </w:pPr>
      <w:r>
        <w:rPr>
          <w:rFonts w:hint="eastAsia"/>
        </w:rPr>
        <w:t>通过ASSOCIATE_QUEUE()从线程到队列。这取决于代理实现(在用户空间中)，以适当协调跨队列到代理的消息路由。如果一个线程将其关联从一个队列更改为另一个队列，而原始队列中有挂起的消息，则关联操作将失败。在这种情况下，代理必须在重新发出ASSOCIATE_QUEUE()之前清空原始队列。将代理与内核同步。代理操作通过消息观察到的系统状态。然而，当代理正在做出调度决策时，新的消息可能会到达队列，从而改变该决策。对于每个CPU示例和集中式调度示例，这个挑战略有不同(见§3.2和§3.3)。无论哪种方式，我们都用代理/线程序列号来解决这个挑战:每个代理都有一个序列号，</w:t>
      </w:r>
      <w:r>
        <w:rPr>
          <w:rFonts w:hint="eastAsia"/>
        </w:rPr>
        <w:tab/>
      </w:r>
      <w:r>
        <w:rPr>
          <w:rFonts w:hint="eastAsia"/>
        </w:rPr>
        <w:tab/>
      </w:r>
      <w:r>
        <w:rPr>
          <w:rFonts w:hint="eastAsia"/>
        </w:rPr>
        <w:t>，每当消息被发布到与该代理关联的队列时，该序列号都会递增。的使用</w:t>
      </w:r>
      <w:r>
        <w:rPr>
          <w:rFonts w:hint="eastAsia"/>
        </w:rPr>
        <w:tab/>
      </w:r>
      <w:r>
        <w:rPr>
          <w:rFonts w:hint="eastAsia"/>
        </w:rPr>
        <w:t>对于§3.2中的每CPU示例。每个线程</w:t>
      </w:r>
      <w:r>
        <w:rPr>
          <w:rFonts w:hint="eastAsia"/>
        </w:rPr>
        <w:tab/>
      </w:r>
      <w:r>
        <w:rPr>
          <w:rFonts w:hint="eastAsia"/>
        </w:rPr>
        <w:tab/>
      </w:r>
      <w:r>
        <w:rPr>
          <w:rFonts w:hint="eastAsia"/>
        </w:rPr>
        <w:t>都有一个序列号，𝑇</w:t>
      </w:r>
      <w:r>
        <w:rPr>
          <w:rFonts w:hint="eastAsia"/>
        </w:rPr>
        <w:tab/>
      </w:r>
      <w:r>
        <w:rPr>
          <w:rFonts w:hint="eastAsia"/>
        </w:rPr>
        <w:tab/>
      </w:r>
      <w:r>
        <w:rPr>
          <w:rFonts w:hint="eastAsia"/>
        </w:rPr>
        <w:tab/>
      </w:r>
      <w:r>
        <w:rPr>
          <w:rFonts w:hint="eastAsia"/>
        </w:rPr>
        <w:t>，每当该线程发布一个新的状态改变消息时，该数字就会递增，</w:t>
      </w:r>
      <w:r>
        <w:rPr>
          <w:rFonts w:hint="eastAsia"/>
        </w:rPr>
        <w:tab/>
      </w:r>
      <w:r>
        <w:rPr>
          <w:rFonts w:hint="eastAsia"/>
        </w:rPr>
        <w:t>。当一个代理弹出队列时，它会收到一条消息和它对应的序列号:(𝑇,</w:t>
      </w:r>
      <w:r>
        <w:rPr>
          <w:rFonts w:hint="eastAsia"/>
        </w:rPr>
        <w:tab/>
      </w:r>
      <w:r>
        <w:rPr>
          <w:rFonts w:hint="eastAsia"/>
        </w:rPr>
        <w:t>)。我们解释如何使用</w:t>
      </w:r>
      <w:r>
        <w:rPr>
          <w:rFonts w:hint="eastAsia"/>
        </w:rPr>
        <w:tab/>
      </w:r>
      <w:r>
        <w:rPr>
          <w:rFonts w:hint="eastAsia"/>
        </w:rPr>
        <w:tab/>
      </w:r>
      <w:r>
        <w:rPr>
          <w:rFonts w:hint="eastAsia"/>
        </w:rPr>
        <w:t>对于§3.3中的集中式调度示例。通过共享内存公开序列号。幽灵使代理能够通过状态字有效地轮询有关线程和CPU状态的辅助信息，这些信息映射到代理的地址空间中。为了简洁起见，我们只讨论我们使用状态词来暴露序列号，</w:t>
      </w:r>
      <w:r>
        <w:rPr>
          <w:rFonts w:hint="eastAsia"/>
        </w:rPr>
        <w:tab/>
      </w:r>
      <w:r>
        <w:rPr>
          <w:rFonts w:hint="eastAsia"/>
        </w:rPr>
        <w:tab/>
      </w:r>
      <w:r>
        <w:rPr>
          <w:rFonts w:hint="eastAsia"/>
        </w:rPr>
        <w:t>和𝑇</w:t>
      </w:r>
      <w:r>
        <w:rPr>
          <w:rFonts w:hint="eastAsia"/>
        </w:rPr>
        <w:tab/>
      </w:r>
      <w:r>
        <w:rPr>
          <w:rFonts w:hint="eastAsia"/>
        </w:rPr>
        <w:t>，送给代理商。当内核更新线程或代理的序列号时，它也会更新相应的状态词。然后，代理可以从共享映射中的状态词中读取序列号。</w:t>
      </w:r>
    </w:p>
    <w:p>
      <w:pPr>
        <w:ind w:left="0" w:leftChars="0" w:firstLine="0" w:firstLineChars="0"/>
        <w:rPr>
          <w:rFonts w:hint="eastAsia"/>
        </w:rPr>
      </w:pPr>
      <w:r>
        <w:rPr>
          <w:rFonts w:hint="eastAsia"/>
        </w:rPr>
        <w:t>3.2Agent-to-Kernel通信</w:t>
      </w:r>
    </w:p>
    <w:p>
      <w:pPr>
        <w:ind w:left="0" w:leftChars="0" w:firstLine="0" w:firstLineChars="0"/>
        <w:rPr>
          <w:rFonts w:hint="eastAsia"/>
        </w:rPr>
      </w:pPr>
    </w:p>
    <w:p>
      <w:pPr>
        <w:ind w:left="0" w:leftChars="0" w:firstLine="0" w:firstLineChars="0"/>
        <w:rPr>
          <w:rFonts w:hint="eastAsia"/>
        </w:rPr>
      </w:pPr>
      <w:r>
        <w:drawing>
          <wp:inline distT="0" distB="0" distL="114300" distR="114300">
            <wp:extent cx="4581525" cy="2409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581525" cy="2409825"/>
                    </a:xfrm>
                    <a:prstGeom prst="rect">
                      <a:avLst/>
                    </a:prstGeom>
                    <a:noFill/>
                    <a:ln>
                      <a:noFill/>
                    </a:ln>
                  </pic:spPr>
                </pic:pic>
              </a:graphicData>
            </a:graphic>
          </wp:inline>
        </w:drawing>
      </w:r>
    </w:p>
    <w:p>
      <w:pPr>
        <w:ind w:left="0" w:leftChars="0" w:firstLine="0" w:firstLineChars="0"/>
        <w:rPr>
          <w:rFonts w:hint="eastAsia"/>
        </w:rPr>
      </w:pPr>
      <w:r>
        <w:rPr>
          <w:rFonts w:hint="eastAsia"/>
        </w:rPr>
        <w:t>我们现在描述代理如何指示内核下一个调度哪个线程。</w:t>
      </w:r>
    </w:p>
    <w:p>
      <w:pPr>
        <w:ind w:left="0" w:leftChars="0" w:firstLine="0" w:firstLineChars="0"/>
        <w:rPr>
          <w:rFonts w:hint="eastAsia"/>
        </w:rPr>
      </w:pPr>
      <w:r>
        <w:rPr>
          <w:rFonts w:hint="eastAsia"/>
        </w:rPr>
        <w:t>通过事务发送调度决策。代理通过提交事务向内核发送调度决策。代理必须能够调度其本地CPU(每CPU情况)和其他远程CPU(集中式情况)。提交机制必须能够快速支持s-scale策略和可扩展到数百个核。对于每CPU的示例，理论上一个系统调用接口就足够了。对于集中式调度，代理需要高效地将调度请求发送到多个CPU和然后检查这些请求是否成功。因此，共享内存接口更合适。作为题外话，在共享内存中使用事务作为调度接口将允许在未来将调度决策卸载给能够访问该内存的外部设备。</w:t>
      </w:r>
    </w:p>
    <w:p>
      <w:pPr>
        <w:ind w:left="0" w:leftChars="0" w:firstLine="0" w:firstLineChars="0"/>
        <w:rPr>
          <w:rFonts w:hint="eastAsia"/>
        </w:rPr>
      </w:pPr>
      <w:r>
        <w:rPr>
          <w:rFonts w:hint="eastAsia"/>
        </w:rPr>
        <w:t>受到事务内存[67]和数据库[68]系统的启发，我们设计了自己的事务API，通过共享内存实现。这些系统支持具有原子语义的快速、分布式提交操作，并且可以同时针对同一个远程节点进行多个提交。ghOSt代理需要类似的属性。代理程序使用TXN_CREATE()helper函数在共享内存中打开一个新事务。代理写入要调度的线程的TID以及要调度线程的CPUID。在每CPU示例中，每个代理只调度自己的CPU。当事务被填充时，代理通过TXNS_COMMIT()系统调用将其提交给内核，这将启动提交过程并触发内核启动上下文切换。图3展示了一个简化的例子。</w:t>
      </w:r>
    </w:p>
    <w:p>
      <w:pPr>
        <w:ind w:left="0" w:leftChars="0" w:firstLine="0" w:firstLineChars="0"/>
        <w:rPr>
          <w:rFonts w:hint="eastAsia"/>
        </w:rPr>
      </w:pPr>
      <w:r>
        <w:rPr>
          <w:rFonts w:hint="eastAsia"/>
        </w:rPr>
        <w:t>小组提交。在集中式调度示例中，为了允许ghOSt扩展到每秒数百个cpu和数十万个事务，我们必须降低昂贵的系统调用成本。我们通过引入组提交来摊销事务的成本。组提交也减少了发送到其他cpu的中断数量，类似于Caladan[21]。代理通过将所有事务都传递给TXNS_COMMIT()系统调用来提交多个事务。这个系统调用将昂贵的开销摊销到几个事务上。最重要的是，它通过使用大多数处理器中存在的批处理中断功能来平摊发送中断的开销。内核没有发送多个中断(每个事务发送一个中断)，而是向远程cpu发送单个批处理中断，从而节省了大量开销。</w:t>
      </w:r>
    </w:p>
    <w:p>
      <w:pPr>
        <w:ind w:left="0" w:leftChars="0" w:firstLine="0" w:firstLineChars="0"/>
        <w:rPr>
          <w:rFonts w:hint="eastAsia"/>
        </w:rPr>
      </w:pPr>
      <w:r>
        <w:rPr>
          <w:rFonts w:hint="eastAsia"/>
        </w:rPr>
        <w:t>序列号和事务。在每CPU示例中，提交事务的代理将其CPU放弃给它正在调度的目标线程。在代理运行时发布到队列的消息不会引起唤醒，因为代理已经在运行。然而，队列中的新消息可能来自一个更高优先级的线程，</w:t>
      </w:r>
    </w:p>
    <w:p>
      <w:pPr>
        <w:ind w:left="0" w:leftChars="0" w:firstLine="0" w:firstLineChars="0"/>
      </w:pPr>
      <w:r>
        <w:drawing>
          <wp:inline distT="0" distB="0" distL="114300" distR="114300">
            <wp:extent cx="3714750" cy="4733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3714750" cy="4733925"/>
                    </a:xfrm>
                    <a:prstGeom prst="rect">
                      <a:avLst/>
                    </a:prstGeom>
                    <a:noFill/>
                    <a:ln>
                      <a:noFill/>
                    </a:ln>
                  </pic:spPr>
                </pic:pic>
              </a:graphicData>
            </a:graphic>
          </wp:inline>
        </w:drawing>
      </w:r>
    </w:p>
    <w:p>
      <w:pPr>
        <w:ind w:left="0" w:leftChars="0" w:firstLine="0" w:firstLineChars="0"/>
        <w:rPr>
          <w:rFonts w:hint="eastAsia"/>
        </w:rPr>
      </w:pPr>
      <w:r>
        <w:rPr>
          <w:rFonts w:hint="eastAsia"/>
        </w:rPr>
        <w:t>并且会影响调度决策，如果代理意识到这一点。代理只有在下一次唤醒时才有机会检查该消息，这就太晚了。现在，我们将解释如何通过每CPU示例的序列号来解决这一挑战。我们将在§3.3中解释集中式调度的略有不同的情况。</w:t>
      </w:r>
    </w:p>
    <w:p>
      <w:pPr>
        <w:ind w:left="0" w:leftChars="0" w:firstLine="0" w:firstLineChars="0"/>
      </w:pPr>
      <w:r>
        <w:drawing>
          <wp:inline distT="0" distB="0" distL="114300" distR="114300">
            <wp:extent cx="4848225" cy="2724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8225" cy="2724150"/>
                    </a:xfrm>
                    <a:prstGeom prst="rect">
                      <a:avLst/>
                    </a:prstGeom>
                    <a:noFill/>
                    <a:ln>
                      <a:noFill/>
                    </a:ln>
                  </pic:spPr>
                </pic:pic>
              </a:graphicData>
            </a:graphic>
          </wp:inline>
        </w:drawing>
      </w:r>
    </w:p>
    <w:p>
      <w:pPr>
        <w:ind w:left="0" w:leftChars="0" w:firstLine="0" w:firstLineChars="0"/>
        <w:rPr>
          <w:rFonts w:hint="eastAsia"/>
        </w:rPr>
      </w:pPr>
      <w:r>
        <w:drawing>
          <wp:inline distT="0" distB="0" distL="114300" distR="114300">
            <wp:extent cx="4714875" cy="2733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714875" cy="2733675"/>
                    </a:xfrm>
                    <a:prstGeom prst="rect">
                      <a:avLst/>
                    </a:prstGeom>
                    <a:noFill/>
                    <a:ln>
                      <a:noFill/>
                    </a:ln>
                  </pic:spPr>
                </pic:pic>
              </a:graphicData>
            </a:graphic>
          </wp:inline>
        </w:drawing>
      </w:r>
    </w:p>
    <w:p>
      <w:pPr>
        <w:ind w:left="0" w:leftChars="0" w:firstLine="0" w:firstLineChars="0"/>
        <w:rPr>
          <w:rFonts w:hint="eastAsia"/>
        </w:rPr>
      </w:pPr>
      <w:r>
        <w:rPr>
          <w:rFonts w:hint="eastAsia"/>
        </w:rPr>
        <w:t>通过共享内存窗口进入代理的地址空间。代理如何使用BPF基础设施在cpu上调度线程的细节是调度策略的一部分。鬼BPF程序本质上是代理本身的扩展，因此BPF字节码被嵌入到代理二进制中，使用libbpf[69]。</w:t>
      </w:r>
    </w:p>
    <w:p>
      <w:pPr>
        <w:ind w:left="0" w:leftChars="0" w:firstLine="0" w:firstLineChars="0"/>
        <w:rPr>
          <w:rFonts w:hint="eastAsia"/>
        </w:rPr>
      </w:pPr>
    </w:p>
    <w:p>
      <w:pPr>
        <w:ind w:left="0" w:leftChars="0" w:firstLine="0" w:firstLineChars="0"/>
        <w:rPr>
          <w:rFonts w:hint="eastAsia"/>
        </w:rPr>
      </w:pPr>
      <w:r>
        <w:rPr>
          <w:rFonts w:hint="eastAsia"/>
        </w:rPr>
        <w:t>3.3集中式调度器(CentralizedScheduler)</w:t>
      </w:r>
    </w:p>
    <w:p>
      <w:pPr>
        <w:ind w:left="0" w:leftChars="0" w:firstLine="0" w:firstLineChars="0"/>
        <w:rPr>
          <w:rFonts w:hint="eastAsia"/>
        </w:rPr>
      </w:pPr>
      <w:r>
        <w:rPr>
          <w:rFonts w:hint="eastAsia"/>
        </w:rPr>
        <w:t>我们现在解释构建集中式调度鬼影策略所需的其他实现细节。</w:t>
      </w:r>
    </w:p>
    <w:p>
      <w:pPr>
        <w:ind w:left="0" w:leftChars="0" w:firstLine="0" w:firstLineChars="0"/>
        <w:rPr>
          <w:rFonts w:hint="eastAsia"/>
        </w:rPr>
      </w:pPr>
      <w:r>
        <w:rPr>
          <w:rFonts w:hint="eastAsia"/>
        </w:rPr>
        <w:t>具有单个队列的全局代理。对于集中式调度，一个全局代理轮询一个消息队列，并为鬼下管理的所有cpu做出调度决策。如果指定的CPU已经运行了一个鬼线程，事务将抢占前一个线程，以优先于新线程。图4描述了一个简化的调度器代码示例。直观地看，集中式策略似乎无法支持s-scale调度，虽然我们在§4中展示了鬼在我们的生产工作负载上有相当或更好的整体性能。避免抢占全局代理。支持s-scale调度，全局代理必须持续运行，因为任何抢占都会直接导致调度延迟。为了防止更高优先级的内核调度类抢占全局代理，鬼给所有代理分配一个高的内核优先级，类似于实时调度。换句话说，机器中的任何其他线程，无论是鬼还是非鬼，都不能抢占代理线程。然而，这种优先级分配，除非小心处理，否则会破坏系统的稳定。例如，大多数系统都有必须在其指定的cpu上运行的每cpu守护进程工作线程。</w:t>
      </w:r>
    </w:p>
    <w:p>
      <w:pPr>
        <w:ind w:left="0" w:leftChars="0" w:firstLine="0" w:firstLineChars="0"/>
      </w:pPr>
      <w:r>
        <w:drawing>
          <wp:inline distT="0" distB="0" distL="114300" distR="114300">
            <wp:extent cx="4857750" cy="5114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4857750" cy="5114925"/>
                    </a:xfrm>
                    <a:prstGeom prst="rect">
                      <a:avLst/>
                    </a:prstGeom>
                    <a:noFill/>
                    <a:ln>
                      <a:noFill/>
                    </a:ln>
                  </pic:spPr>
                </pic:pic>
              </a:graphicData>
            </a:graphic>
          </wp:inline>
        </w:drawing>
      </w:r>
    </w:p>
    <w:p>
      <w:pPr>
        <w:ind w:left="0" w:leftChars="0" w:firstLine="0" w:firstLineChars="0"/>
      </w:pPr>
      <w:r>
        <w:drawing>
          <wp:inline distT="0" distB="0" distL="114300" distR="114300">
            <wp:extent cx="4714875" cy="3181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4714875" cy="3181350"/>
                    </a:xfrm>
                    <a:prstGeom prst="rect">
                      <a:avLst/>
                    </a:prstGeom>
                    <a:noFill/>
                    <a:ln>
                      <a:noFill/>
                    </a:ln>
                  </pic:spPr>
                </pic:pic>
              </a:graphicData>
            </a:graphic>
          </wp:inline>
        </w:drawing>
      </w:r>
    </w:p>
    <w:p>
      <w:pPr>
        <w:ind w:left="0" w:leftChars="0" w:firstLine="0" w:firstLineChars="0"/>
        <w:rPr>
          <w:rFonts w:hint="eastAsia"/>
        </w:rPr>
      </w:pPr>
      <w:r>
        <w:rPr>
          <w:rFonts w:hint="eastAsia"/>
        </w:rPr>
        <w:t>Agent必须支持成千上万个不断向全局队列发布消息的线程，这使得耗尽队列非常耗时。与每cpu示例中的本地代理不同，全局代理不会放弃自己的CPU。全局代理必须只验证它相对于线程是最新的正在被调度。我们用线程序列号来解决这个问题。回想一下每个排队的消息是否标记了线程序列号</w:t>
      </w:r>
    </w:p>
    <w:p>
      <w:pPr>
        <w:ind w:left="0" w:leftChars="0" w:firstLine="0" w:firstLineChars="0"/>
        <w:rPr>
          <w:rFonts w:hint="eastAsia"/>
        </w:rPr>
      </w:pPr>
      <w:r>
        <w:rPr>
          <w:rFonts w:hint="eastAsia"/>
        </w:rPr>
        <w:t>(𝑇,)。当代理为线程𝑇提交事务时，它将事务连同最近的序列号一起发送它意识到:。当内核接收到事务时，它会验证𝑇相对于事务中的线程来说是最新的。否则，事务失败，报错ESTALE。</w:t>
      </w:r>
    </w:p>
    <w:p>
      <w:pPr>
        <w:ind w:left="0" w:leftChars="0" w:firstLine="0" w:firstLineChars="0"/>
        <w:rPr>
          <w:rFonts w:hint="eastAsia"/>
        </w:rPr>
      </w:pPr>
      <w:r>
        <w:rPr>
          <w:rFonts w:hint="eastAsia"/>
        </w:rPr>
        <w:t>3.4故障隔离和动态升级</w:t>
      </w:r>
    </w:p>
    <w:p>
      <w:pPr>
        <w:ind w:left="0" w:leftChars="0" w:firstLine="0" w:firstLineChars="0"/>
        <w:rPr>
          <w:rFonts w:hint="eastAsia"/>
        </w:rPr>
      </w:pPr>
      <w:r>
        <w:rPr>
          <w:rFonts w:hint="eastAsia"/>
        </w:rPr>
        <w:t>与其他内核调度类的交互。ghOSt的设计目标之一是使现有系统易于采用。因此，即使ghOSt策略出错，我们仍然希望鬼管理的线程能够与系统中的其他线程很好地交互。我们希望避免ghOSt线程对其他线程造成意想不到的后果，例如饥饿、优先级反转、死锁等。</w:t>
      </w:r>
    </w:p>
    <w:p>
      <w:pPr>
        <w:ind w:left="0" w:leftChars="0" w:firstLine="0" w:firstLineChars="0"/>
        <w:rPr>
          <w:rFonts w:hint="eastAsia"/>
        </w:rPr>
      </w:pPr>
      <w:r>
        <w:rPr>
          <w:rFonts w:hint="eastAsia"/>
        </w:rPr>
        <w:t>我们通过在内核的调度类层次结构中为ghOSt的内核调度器类分配一个低于默认调度器类(通常是CFS)的优先级(§2)来实现这一目标。结果是系统中的大多数线程将抢占ghOSt线程。ghOSt的抢占会导致创建THREAD_PREEMPT消息，从而触发相关代理(在不同的高优先级调度类中运行)做出调度决策。代理会进一步决定如何处理抢占。</w:t>
      </w:r>
    </w:p>
    <w:p>
      <w:pPr>
        <w:ind w:left="0" w:leftChars="0" w:firstLine="0" w:firstLineChars="0"/>
        <w:rPr>
          <w:rFonts w:hint="eastAsia"/>
        </w:rPr>
      </w:pPr>
      <w:r>
        <w:rPr>
          <w:rFonts w:hint="eastAsia"/>
        </w:rPr>
        <w:t>动态升级和回滚。ghOSt支持快速部署，因为更新了调度策略(即:代理程序)不需要重新启动内核或应用程序。许多生产服务可能需要几分钟到几个小时才能启动，特别是填充内存缓存。同样，我们希望尽量减少对客户端虚拟机的中断。这些长期运行的应用程序在计划中的代理更新或计划外的代理崩溃期间继续正确运行。ghOSt通过(a)替换代理在保持飞地基础设施完整的同时，或者(b)摧毁飞地并从头开始。</w:t>
      </w:r>
    </w:p>
    <w:p>
      <w:pPr>
        <w:ind w:left="0" w:leftChars="0" w:firstLine="0" w:firstLineChars="0"/>
        <w:rPr>
          <w:rFonts w:hint="eastAsia"/>
        </w:rPr>
      </w:pPr>
      <w:r>
        <w:rPr>
          <w:rFonts w:hint="eastAsia"/>
        </w:rPr>
        <w:t>替换特工，摧毁飞地。ghOSt支持在不破坏飞地的情况下“就地”更新代理。用户空间代码可以查询代理是否附属于飞地，并对其进行epoll。为了升级代理，我们同时运</w:t>
      </w:r>
    </w:p>
    <w:p>
      <w:pPr>
        <w:ind w:left="0" w:leftChars="0" w:firstLine="0" w:firstLineChars="0"/>
        <w:rPr>
          <w:rFonts w:hint="eastAsia"/>
        </w:rPr>
      </w:pPr>
      <w:r>
        <w:rPr>
          <w:rFonts w:hint="eastAsia"/>
        </w:rPr>
        <w:t>行旧代理和新代理;新代理会阻塞，直到旧代理崩溃或退出，不再连接。新代理从内核中提取enclave中所有线程的状态，并恢复调度。如果这个过程失败，内核或用户空间代码都</w:t>
      </w:r>
    </w:p>
    <w:p>
      <w:pPr>
        <w:ind w:left="0" w:leftChars="0" w:firstLine="0" w:firstLineChars="0"/>
        <w:rPr>
          <w:rFonts w:hint="eastAsia"/>
        </w:rPr>
      </w:pPr>
      <w:r>
        <w:rPr>
          <w:rFonts w:hint="eastAsia"/>
        </w:rPr>
        <w:t>可以破坏这个enclave。摧毁飞地杀死飞地中的所有代理，保持系统中其他飞地的完整，并自动将被摧毁飞地中的所有线程移回CFS。此时，线程仍然正常工作，但由CFS而不是ghOSt调度。</w:t>
      </w:r>
    </w:p>
    <w:p>
      <w:pPr>
        <w:ind w:left="0" w:leftChars="0" w:firstLine="0" w:firstLineChars="0"/>
        <w:rPr>
          <w:rFonts w:hint="eastAsia"/>
        </w:rPr>
      </w:pPr>
      <w:r>
        <w:rPr>
          <w:rFonts w:hint="eastAsia"/>
        </w:rPr>
        <w:t>ghOSt看门狗。ghOSt或任何其他内核调度器中的调度错误都会对整个系统产生影响。例如，一个ghOSt线程可能会在持有一个内核互斥时被抢占，如果它没有被调度太长时间，它可能会传递地暂停其他线程，包括那些在CFS或其他ghOSt飞地中的线程。类似地，如果垃圾回收器和I/O轮询器等关键线程没有被调度，机器就会慢慢停止。作为一种安全机制，《ghOSt》会自动摧毁行为不端的飞地。例如，当内核检测到代理在用户可配置的毫秒数内没有调度可运行线程时，就会销毁一个enclave。</w:t>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r>
        <w:rPr>
          <w:rFonts w:hint="eastAsia"/>
          <w:b/>
          <w:bCs/>
          <w:color w:val="FF0000"/>
          <w:highlight w:val="cyan"/>
          <w:lang w:eastAsia="zh-CN"/>
        </w:rPr>
        <w:t>——————————————————————————————————</w:t>
      </w:r>
    </w:p>
    <w:p>
      <w:pPr>
        <w:rPr>
          <w:rFonts w:hint="eastAsia"/>
        </w:rPr>
      </w:pPr>
    </w:p>
    <w:p>
      <w:pPr>
        <w:pStyle w:val="2"/>
        <w:numPr>
          <w:ilvl w:val="0"/>
          <w:numId w:val="1"/>
        </w:numPr>
        <w:spacing w:after="0"/>
        <w:ind w:left="374" w:hanging="374"/>
      </w:pPr>
      <w:r>
        <w:rPr>
          <w:rFonts w:hint="eastAsia"/>
        </w:rPr>
        <w:t>本发明技术方案带来的有益效果：</w:t>
      </w:r>
    </w:p>
    <w:p>
      <w:pPr>
        <w:ind w:firstLine="0" w:firstLineChars="0"/>
        <w:rPr>
          <w:rFonts w:hint="eastAsia"/>
          <w:lang w:eastAsia="zh-Hans"/>
        </w:rPr>
      </w:pPr>
    </w:p>
    <w:sectPr>
      <w:headerReference r:id="rId11" w:type="first"/>
      <w:footerReference r:id="rId12" w:type="default"/>
      <w:footerReference r:id="rId13" w:type="even"/>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DejaVu Sans">
    <w:altName w:val="Times New Roman"/>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新宋体">
    <w:panose1 w:val="02010609030101010101"/>
    <w:charset w:val="86"/>
    <w:family w:val="auto"/>
    <w:pitch w:val="default"/>
    <w:sig w:usb0="00000283" w:usb1="288F0000" w:usb2="00000006" w:usb3="00000000" w:csb0="00040001" w:csb1="00000000"/>
  </w:font>
  <w:font w:name="Calibri">
    <w:panose1 w:val="020F0502020204030204"/>
    <w:charset w:val="86"/>
    <w:family w:val="swiss"/>
    <w:pitch w:val="default"/>
    <w:sig w:usb0="E4002EFF" w:usb1="C000247B" w:usb2="00000009" w:usb3="00000000" w:csb0="200001FF" w:csb1="00000000"/>
  </w:font>
  <w:font w:name="华文宋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separate"/>
    </w:r>
    <w:r>
      <w:rPr>
        <w:rStyle w:val="10"/>
      </w:rPr>
      <w:t>2</w:t>
    </w:r>
    <w:r>
      <w:fldChar w:fldCharType="end"/>
    </w:r>
  </w:p>
  <w:p>
    <w:pPr>
      <w:pStyle w:val="5"/>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end"/>
    </w:r>
  </w:p>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separate"/>
    </w:r>
    <w:r>
      <w:rPr>
        <w:rStyle w:val="10"/>
      </w:rPr>
      <w:t>3</w:t>
    </w:r>
    <w:r>
      <w:fldChar w:fldCharType="end"/>
    </w:r>
  </w:p>
  <w:p>
    <w:pPr>
      <w:pStyle w:val="5"/>
      <w:ind w:firstLine="360"/>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end"/>
    </w:r>
  </w:p>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360"/>
      <w:jc w:val="both"/>
      <w:rPr>
        <w:rFonts w:hint="eastAsia" w:eastAsia="华文宋体"/>
        <w:lang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360"/>
      <w:jc w:val="both"/>
    </w:pPr>
    <w:r>
      <w:rPr>
        <w:rFonts w:hint="eastAsia"/>
      </w:rPr>
      <w:drawing>
        <wp:inline distT="0" distB="0" distL="0" distR="0">
          <wp:extent cx="652145" cy="628015"/>
          <wp:effectExtent l="19050" t="0" r="0" b="0"/>
          <wp:docPr id="26" name="图片 2" descr="logo-兴科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logo-兴科达_02"/>
                  <pic:cNvPicPr>
                    <a:picLocks noChangeAspect="1" noChangeArrowheads="1"/>
                  </pic:cNvPicPr>
                </pic:nvPicPr>
                <pic:blipFill>
                  <a:blip r:embed="rId1"/>
                  <a:srcRect/>
                  <a:stretch>
                    <a:fillRect/>
                  </a:stretch>
                </pic:blipFill>
                <pic:spPr>
                  <a:xfrm>
                    <a:off x="0" y="0"/>
                    <a:ext cx="652145" cy="628015"/>
                  </a:xfrm>
                  <a:prstGeom prst="rect">
                    <a:avLst/>
                  </a:prstGeom>
                  <a:noFill/>
                  <a:ln w="9525">
                    <a:noFill/>
                    <a:miter lim="800000"/>
                    <a:headEnd/>
                    <a:tailEnd/>
                  </a:ln>
                </pic:spPr>
              </pic:pic>
            </a:graphicData>
          </a:graphic>
        </wp:inline>
      </w:drawing>
    </w:r>
    <w:r>
      <w:rPr>
        <w:rFonts w:hint="eastAsia"/>
        <w:sz w:val="24"/>
      </w:rPr>
      <w:t>兴科达知识产权代理机构---长沙分公司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4AB53"/>
    <w:multiLevelType w:val="multilevel"/>
    <w:tmpl w:val="AE44AB5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C9820A3"/>
    <w:multiLevelType w:val="multilevel"/>
    <w:tmpl w:val="2C9820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70AD7D76"/>
    <w:multiLevelType w:val="multilevel"/>
    <w:tmpl w:val="70AD7D76"/>
    <w:lvl w:ilvl="0" w:tentative="0">
      <w:start w:val="1"/>
      <w:numFmt w:val="decimal"/>
      <w:lvlText w:val="%1、"/>
      <w:lvlJc w:val="left"/>
      <w:pPr>
        <w:tabs>
          <w:tab w:val="left" w:pos="375"/>
        </w:tabs>
        <w:ind w:left="375" w:hanging="375"/>
      </w:pPr>
      <w:rPr>
        <w:rFonts w:hint="eastAsia" w:ascii="Arial"/>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3345"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iNjg4ZDhmMzNkMjRlOGZjNGI4MDVmM2U5ZTk3NmUifQ=="/>
    <w:docVar w:name="KSO_WPS_MARK_KEY" w:val="4fe6790c-93c7-4bdc-b486-c45845e01225"/>
  </w:docVars>
  <w:rsids>
    <w:rsidRoot w:val="00C53267"/>
    <w:rsid w:val="00021A6C"/>
    <w:rsid w:val="00022B30"/>
    <w:rsid w:val="00032D5D"/>
    <w:rsid w:val="000356AE"/>
    <w:rsid w:val="00046CE0"/>
    <w:rsid w:val="00047464"/>
    <w:rsid w:val="00057230"/>
    <w:rsid w:val="00073001"/>
    <w:rsid w:val="000959A1"/>
    <w:rsid w:val="000E5A5C"/>
    <w:rsid w:val="00107996"/>
    <w:rsid w:val="00153340"/>
    <w:rsid w:val="00155DD6"/>
    <w:rsid w:val="0019796A"/>
    <w:rsid w:val="001B5E4C"/>
    <w:rsid w:val="001C19D0"/>
    <w:rsid w:val="001D5CCF"/>
    <w:rsid w:val="001D756B"/>
    <w:rsid w:val="001F4C8A"/>
    <w:rsid w:val="00210898"/>
    <w:rsid w:val="002367EB"/>
    <w:rsid w:val="00242C23"/>
    <w:rsid w:val="00274643"/>
    <w:rsid w:val="002C6C4A"/>
    <w:rsid w:val="002E6599"/>
    <w:rsid w:val="002F10F8"/>
    <w:rsid w:val="002F69A4"/>
    <w:rsid w:val="00316207"/>
    <w:rsid w:val="00322BEF"/>
    <w:rsid w:val="0034471E"/>
    <w:rsid w:val="00373E03"/>
    <w:rsid w:val="00384DF1"/>
    <w:rsid w:val="003F673B"/>
    <w:rsid w:val="00401EC7"/>
    <w:rsid w:val="0040701A"/>
    <w:rsid w:val="00410043"/>
    <w:rsid w:val="00412A47"/>
    <w:rsid w:val="00451359"/>
    <w:rsid w:val="0047216E"/>
    <w:rsid w:val="004E1D48"/>
    <w:rsid w:val="004F2C96"/>
    <w:rsid w:val="00510906"/>
    <w:rsid w:val="005129F1"/>
    <w:rsid w:val="00525824"/>
    <w:rsid w:val="00540FFA"/>
    <w:rsid w:val="005439B1"/>
    <w:rsid w:val="005603AB"/>
    <w:rsid w:val="00590A22"/>
    <w:rsid w:val="005A2FF1"/>
    <w:rsid w:val="005E0A66"/>
    <w:rsid w:val="00631D2C"/>
    <w:rsid w:val="006327C3"/>
    <w:rsid w:val="0064145D"/>
    <w:rsid w:val="00655F59"/>
    <w:rsid w:val="00663F9A"/>
    <w:rsid w:val="006646EB"/>
    <w:rsid w:val="00694199"/>
    <w:rsid w:val="006A119B"/>
    <w:rsid w:val="00724AF3"/>
    <w:rsid w:val="00742C7C"/>
    <w:rsid w:val="00760953"/>
    <w:rsid w:val="00765A9A"/>
    <w:rsid w:val="007757EE"/>
    <w:rsid w:val="007B4323"/>
    <w:rsid w:val="007C4FC3"/>
    <w:rsid w:val="007F1015"/>
    <w:rsid w:val="00806635"/>
    <w:rsid w:val="008701BA"/>
    <w:rsid w:val="008C0192"/>
    <w:rsid w:val="00922156"/>
    <w:rsid w:val="00936FC6"/>
    <w:rsid w:val="009A451F"/>
    <w:rsid w:val="009A6865"/>
    <w:rsid w:val="009D12D6"/>
    <w:rsid w:val="009E2FC1"/>
    <w:rsid w:val="009E53F4"/>
    <w:rsid w:val="00A168D8"/>
    <w:rsid w:val="00A425A3"/>
    <w:rsid w:val="00A8374A"/>
    <w:rsid w:val="00A939A6"/>
    <w:rsid w:val="00AC17F9"/>
    <w:rsid w:val="00AE11AA"/>
    <w:rsid w:val="00B04356"/>
    <w:rsid w:val="00B12C77"/>
    <w:rsid w:val="00B17DCC"/>
    <w:rsid w:val="00B24B0B"/>
    <w:rsid w:val="00B27F22"/>
    <w:rsid w:val="00B35239"/>
    <w:rsid w:val="00B3644D"/>
    <w:rsid w:val="00B53781"/>
    <w:rsid w:val="00B664C2"/>
    <w:rsid w:val="00B7415C"/>
    <w:rsid w:val="00B814AB"/>
    <w:rsid w:val="00B95C3C"/>
    <w:rsid w:val="00B96D2E"/>
    <w:rsid w:val="00BB2A85"/>
    <w:rsid w:val="00BE61E6"/>
    <w:rsid w:val="00BF1EB4"/>
    <w:rsid w:val="00C02295"/>
    <w:rsid w:val="00C1699C"/>
    <w:rsid w:val="00C53267"/>
    <w:rsid w:val="00C61AA5"/>
    <w:rsid w:val="00C6463C"/>
    <w:rsid w:val="00C64D2E"/>
    <w:rsid w:val="00C871D6"/>
    <w:rsid w:val="00CB2B19"/>
    <w:rsid w:val="00CD1B11"/>
    <w:rsid w:val="00CF21F7"/>
    <w:rsid w:val="00D35FE5"/>
    <w:rsid w:val="00D4323C"/>
    <w:rsid w:val="00D84593"/>
    <w:rsid w:val="00D8592F"/>
    <w:rsid w:val="00DD246C"/>
    <w:rsid w:val="00DF77DC"/>
    <w:rsid w:val="00E03DA6"/>
    <w:rsid w:val="00E04574"/>
    <w:rsid w:val="00E5553E"/>
    <w:rsid w:val="00EA1171"/>
    <w:rsid w:val="00ED2DB7"/>
    <w:rsid w:val="00EF081D"/>
    <w:rsid w:val="00F36A5D"/>
    <w:rsid w:val="00F37326"/>
    <w:rsid w:val="00F44E7E"/>
    <w:rsid w:val="00F61D3F"/>
    <w:rsid w:val="00F8240D"/>
    <w:rsid w:val="00F87C6D"/>
    <w:rsid w:val="00F91E65"/>
    <w:rsid w:val="00FA7BBD"/>
    <w:rsid w:val="00FB0026"/>
    <w:rsid w:val="00FD6606"/>
    <w:rsid w:val="00FE41C1"/>
    <w:rsid w:val="01AA7614"/>
    <w:rsid w:val="05622371"/>
    <w:rsid w:val="0B121C2A"/>
    <w:rsid w:val="0BE0534D"/>
    <w:rsid w:val="0C1170B0"/>
    <w:rsid w:val="11DF707A"/>
    <w:rsid w:val="175F2FF4"/>
    <w:rsid w:val="18E25DE6"/>
    <w:rsid w:val="19CB6F45"/>
    <w:rsid w:val="1FE3719E"/>
    <w:rsid w:val="205D6E3E"/>
    <w:rsid w:val="216A1851"/>
    <w:rsid w:val="22FF6885"/>
    <w:rsid w:val="24BF61EC"/>
    <w:rsid w:val="2668594C"/>
    <w:rsid w:val="280B6663"/>
    <w:rsid w:val="294D1046"/>
    <w:rsid w:val="2EEE33C4"/>
    <w:rsid w:val="2F6C0A28"/>
    <w:rsid w:val="319C75A8"/>
    <w:rsid w:val="34895825"/>
    <w:rsid w:val="39BA7CFD"/>
    <w:rsid w:val="39EE5007"/>
    <w:rsid w:val="3F5D7549"/>
    <w:rsid w:val="3F7234C6"/>
    <w:rsid w:val="3FF991A2"/>
    <w:rsid w:val="40B6445D"/>
    <w:rsid w:val="416255D3"/>
    <w:rsid w:val="41B4638E"/>
    <w:rsid w:val="476E724F"/>
    <w:rsid w:val="49DA6864"/>
    <w:rsid w:val="50636B92"/>
    <w:rsid w:val="509000A1"/>
    <w:rsid w:val="535C0458"/>
    <w:rsid w:val="55AA41E4"/>
    <w:rsid w:val="566A6990"/>
    <w:rsid w:val="567848DA"/>
    <w:rsid w:val="569002C2"/>
    <w:rsid w:val="57F6D20F"/>
    <w:rsid w:val="5A081223"/>
    <w:rsid w:val="5A0A5D02"/>
    <w:rsid w:val="5B677E9F"/>
    <w:rsid w:val="5C683DEE"/>
    <w:rsid w:val="5E286EDC"/>
    <w:rsid w:val="5EF948B7"/>
    <w:rsid w:val="660C5D19"/>
    <w:rsid w:val="68B743E7"/>
    <w:rsid w:val="6A553BF7"/>
    <w:rsid w:val="6ACC47B1"/>
    <w:rsid w:val="6B1648B2"/>
    <w:rsid w:val="6EEE7382"/>
    <w:rsid w:val="71DE3FF6"/>
    <w:rsid w:val="72F94BAC"/>
    <w:rsid w:val="73E85FDE"/>
    <w:rsid w:val="73F33527"/>
    <w:rsid w:val="75653C45"/>
    <w:rsid w:val="75710C82"/>
    <w:rsid w:val="75CF488F"/>
    <w:rsid w:val="78DD5183"/>
    <w:rsid w:val="797C294D"/>
    <w:rsid w:val="7AB97BE3"/>
    <w:rsid w:val="7CB93960"/>
    <w:rsid w:val="7D3612EF"/>
    <w:rsid w:val="7FEBD837"/>
    <w:rsid w:val="EFFD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华文宋体" w:cs="Times New Roman"/>
      <w:kern w:val="2"/>
      <w:sz w:val="24"/>
      <w:lang w:val="en-US" w:eastAsia="zh-CN" w:bidi="ar-SA"/>
    </w:rPr>
  </w:style>
  <w:style w:type="paragraph" w:styleId="2">
    <w:name w:val="heading 1"/>
    <w:basedOn w:val="1"/>
    <w:next w:val="1"/>
    <w:link w:val="15"/>
    <w:qFormat/>
    <w:uiPriority w:val="0"/>
    <w:pPr>
      <w:autoSpaceDE w:val="0"/>
      <w:autoSpaceDN w:val="0"/>
      <w:adjustRightInd w:val="0"/>
      <w:spacing w:before="100" w:after="100"/>
      <w:ind w:firstLine="0" w:firstLineChars="0"/>
      <w:outlineLvl w:val="0"/>
    </w:pPr>
    <w:rPr>
      <w:rFonts w:ascii="Arial" w:hAnsi="Arial"/>
      <w:b/>
      <w:kern w:val="0"/>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DejaVu Sans" w:hAnsi="DejaVu Sans" w:eastAsia="方正黑体_GBK"/>
      <w:sz w:val="20"/>
    </w:rPr>
  </w:style>
  <w:style w:type="paragraph" w:styleId="4">
    <w:name w:val="annotation text"/>
    <w:basedOn w:val="1"/>
    <w:semiHidden/>
    <w:unhideWhenUsed/>
    <w:uiPriority w:val="0"/>
    <w:pPr>
      <w:jc w:val="left"/>
    </w:pPr>
  </w:style>
  <w:style w:type="paragraph" w:styleId="5">
    <w:name w:val="footer"/>
    <w:basedOn w:val="1"/>
    <w:link w:val="13"/>
    <w:qFormat/>
    <w:uiPriority w:val="0"/>
    <w:pPr>
      <w:tabs>
        <w:tab w:val="center" w:pos="4153"/>
        <w:tab w:val="right" w:pos="8306"/>
      </w:tabs>
      <w:snapToGrid w:val="0"/>
      <w:jc w:val="left"/>
    </w:pPr>
    <w:rPr>
      <w:sz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0">
    <w:name w:val="page number"/>
    <w:basedOn w:val="9"/>
    <w:qFormat/>
    <w:uiPriority w:val="0"/>
  </w:style>
  <w:style w:type="character" w:styleId="11">
    <w:name w:val="HTML Code"/>
    <w:basedOn w:val="9"/>
    <w:semiHidden/>
    <w:unhideWhenUsed/>
    <w:uiPriority w:val="0"/>
    <w:rPr>
      <w:rFonts w:ascii="Courier New" w:hAnsi="Courier New"/>
      <w:sz w:val="20"/>
    </w:rPr>
  </w:style>
  <w:style w:type="character" w:styleId="12">
    <w:name w:val="annotation reference"/>
    <w:basedOn w:val="9"/>
    <w:semiHidden/>
    <w:unhideWhenUsed/>
    <w:uiPriority w:val="0"/>
    <w:rPr>
      <w:sz w:val="21"/>
      <w:szCs w:val="21"/>
    </w:rPr>
  </w:style>
  <w:style w:type="character" w:customStyle="1" w:styleId="13">
    <w:name w:val="页脚 Char"/>
    <w:link w:val="5"/>
    <w:qFormat/>
    <w:uiPriority w:val="0"/>
    <w:rPr>
      <w:kern w:val="2"/>
      <w:sz w:val="18"/>
    </w:rPr>
  </w:style>
  <w:style w:type="character" w:customStyle="1" w:styleId="14">
    <w:name w:val="页眉 Char"/>
    <w:link w:val="6"/>
    <w:qFormat/>
    <w:uiPriority w:val="0"/>
    <w:rPr>
      <w:kern w:val="2"/>
      <w:sz w:val="18"/>
      <w:szCs w:val="18"/>
    </w:rPr>
  </w:style>
  <w:style w:type="character" w:customStyle="1" w:styleId="15">
    <w:name w:val="标题 1 Char"/>
    <w:link w:val="2"/>
    <w:qFormat/>
    <w:uiPriority w:val="0"/>
    <w:rPr>
      <w:rFonts w:ascii="Arial" w:hAnsi="Arial" w:eastAsia="华文宋体"/>
      <w:b/>
      <w:kern w:val="0"/>
      <w:sz w:val="24"/>
    </w:rPr>
  </w:style>
  <w:style w:type="paragraph" w:customStyle="1" w:styleId="16">
    <w:name w:val="列出段落1"/>
    <w:basedOn w:val="1"/>
    <w:link w:val="19"/>
    <w:qFormat/>
    <w:uiPriority w:val="34"/>
    <w:pPr>
      <w:spacing w:line="240" w:lineRule="auto"/>
    </w:pPr>
  </w:style>
  <w:style w:type="paragraph" w:customStyle="1" w:styleId="17">
    <w:name w:val="标题2"/>
    <w:basedOn w:val="1"/>
    <w:qFormat/>
    <w:uiPriority w:val="0"/>
    <w:pPr>
      <w:autoSpaceDE w:val="0"/>
      <w:autoSpaceDN w:val="0"/>
      <w:adjustRightInd w:val="0"/>
      <w:jc w:val="left"/>
    </w:pPr>
    <w:rPr>
      <w:rFonts w:ascii="宋体"/>
      <w:kern w:val="0"/>
    </w:rPr>
  </w:style>
  <w:style w:type="paragraph" w:customStyle="1" w:styleId="18">
    <w:name w:val="缺省文本"/>
    <w:basedOn w:val="1"/>
    <w:qFormat/>
    <w:uiPriority w:val="0"/>
    <w:pPr>
      <w:autoSpaceDE w:val="0"/>
      <w:autoSpaceDN w:val="0"/>
      <w:adjustRightInd w:val="0"/>
      <w:jc w:val="left"/>
    </w:pPr>
    <w:rPr>
      <w:kern w:val="0"/>
    </w:rPr>
  </w:style>
  <w:style w:type="character" w:customStyle="1" w:styleId="19">
    <w:name w:val="List Paragraph Char"/>
    <w:link w:val="16"/>
    <w:qFormat/>
    <w:uiPriority w:val="34"/>
    <w:rPr>
      <w:rFonts w:eastAsia="华文宋体"/>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webp"/><Relationship Id="rId2" Type="http://schemas.openxmlformats.org/officeDocument/2006/relationships/settings" Target="settings.xml"/><Relationship Id="rId19" Type="http://schemas.openxmlformats.org/officeDocument/2006/relationships/image" Target="media/image6.webp"/><Relationship Id="rId18" Type="http://schemas.openxmlformats.org/officeDocument/2006/relationships/image" Target="media/image5.webp"/><Relationship Id="rId17" Type="http://schemas.openxmlformats.org/officeDocument/2006/relationships/image" Target="media/image4.webp"/><Relationship Id="rId16" Type="http://schemas.openxmlformats.org/officeDocument/2006/relationships/image" Target="media/image3.webp"/><Relationship Id="rId15" Type="http://schemas.openxmlformats.org/officeDocument/2006/relationships/image" Target="media/image2.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7758</Words>
  <Characters>9067</Characters>
  <Lines>5</Lines>
  <Paragraphs>1</Paragraphs>
  <TotalTime>3</TotalTime>
  <ScaleCrop>false</ScaleCrop>
  <LinksUpToDate>false</LinksUpToDate>
  <CharactersWithSpaces>10012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2022-05-05T01:41:00Z</dcterms:created>
  <dc:creator>xkd</dc:creator>
  <cp:lastModifiedBy>xue</cp:lastModifiedBy>
  <dcterms:modified xsi:type="dcterms:W3CDTF">2023-03-07T10:21:08Z</dcterms:modified>
  <dc:title>技术交底书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C1F1065ADCA647378198F2C84D0CA9D8</vt:lpwstr>
  </property>
</Properties>
</file>