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 Model Report</w:t>
      </w:r>
    </w:p>
    <w:p>
      <w:pPr>
        <w:pStyle w:val="Heading2"/>
      </w:pPr>
      <w:r>
        <w:t>Executive Summary</w:t>
      </w:r>
    </w:p>
    <w:p>
      <w:r>
        <w:t>Early-warning ICU admission prediction for COVID-19 patients in Brazil. Dataset: 1,925 records; 231 features; five temporal windows. Key results: AUC=0.85, well-calibrated, top drivers identified.</w:t>
      </w:r>
    </w:p>
    <w:p>
      <w:pPr>
        <w:pStyle w:val="Heading2"/>
      </w:pPr>
      <w:r>
        <w:t>Data &amp; Methods Snapshot</w:t>
      </w:r>
    </w:p>
    <w:p>
      <w:r>
        <w:t>- Data sources and preprocessing steps</w:t>
        <w:br/>
        <w:t>- Modeling pipeline: stacked Random Forest + SHAP explainability</w:t>
        <w:br/>
        <w:t>- Evaluation: 5-fold cross-validation and calibration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AUC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</w:tr>
      <w:tr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</w:tbl>
    <w:p>
      <w:pPr>
        <w:pStyle w:val="Heading2"/>
      </w:pPr>
      <w:r>
        <w:t>Calibration Curve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ibration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20 RF Feature Importances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_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20 SHAP Importances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p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Analyst Notes</w:t>
      </w:r>
    </w:p>
    <w:p>
      <w:r>
        <w:t>Definitions:</w:t>
        <w:br/>
        <w:t>• Calibration Curve: Shows predicted vs. actual probabilities.</w:t>
        <w:br/>
        <w:t>• Random Forest: Ensemble of decision trees for feature importance.</w:t>
        <w:br/>
        <w:t>• SHAP Values: Quantify each feature’s impact on predictions.</w:t>
        <w:br/>
        <w:t>Clinical Impact: Enables proactive resource allocation.</w:t>
      </w:r>
    </w:p>
    <w:p>
      <w:r>
        <w:br w:type="page"/>
      </w:r>
    </w:p>
    <w:p>
      <w:pPr>
        <w:pStyle w:val="Heading2"/>
      </w:pPr>
      <w:r>
        <w:t>Technical Appendix</w:t>
      </w:r>
    </w:p>
    <w:p>
      <w:r>
        <w:t>Abstract, Methods, Results, Discussion, hyperparameters, cross-validation details, data preprocessing, and reproducibility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