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5A62D" w14:textId="77777777" w:rsidR="00485214" w:rsidRDefault="006727D9">
      <w:pPr>
        <w:pStyle w:val="Heading1"/>
      </w:pPr>
      <w:r>
        <w:t>Predicting COVID-19 ICU Admissions – Capstone Model Report</w:t>
      </w:r>
    </w:p>
    <w:p w14:paraId="48E4BA47" w14:textId="77777777" w:rsidR="00485214" w:rsidRDefault="006727D9">
      <w:pPr>
        <w:pStyle w:val="Heading2"/>
      </w:pPr>
      <w:r>
        <w:t>Abstract</w:t>
      </w:r>
    </w:p>
    <w:p w14:paraId="09CB1CE6" w14:textId="1556BD70" w:rsidR="00485214" w:rsidRDefault="006727D9">
      <w:r>
        <w:t>This study presents a machine learning approach to predict ICU admissions among COVID-19 patients using data from Sírio-Libanês Hospital in Brazil. The dataset contained 1,925 records across 231 clinical variables sampled over five temporal windows. A stacked ensemble model combining Random Forest and logistic regression achieved an AUC of 0.85, accuracy of 0.99, and perfect recall (1.00). Calibration analysis confirmed strong reliability at higher risk thresholds, suggesting practical utility for early tri</w:t>
      </w:r>
      <w:r>
        <w:t>age and resource planning. Top predictive factors included ICU history, respiratory rate, and oxygen saturation metrics. These findings indicate that well-calibrated, interpretable ML models can substantially aid pandemic response strategies.</w:t>
      </w:r>
      <w:r>
        <w:br/>
      </w:r>
      <w:r>
        <w:br/>
      </w:r>
      <w:hyperlink r:id="rId6">
        <w:r>
          <w:t>Project GitHub Repository</w:t>
        </w:r>
      </w:hyperlink>
      <w:r>
        <w:t xml:space="preserve">: </w:t>
      </w:r>
      <w:hyperlink r:id="rId7" w:tgtFrame="_blank" w:history="1">
        <w:r w:rsidRPr="006727D9">
          <w:rPr>
            <w:rStyle w:val="Hyperlink"/>
          </w:rPr>
          <w:t>https://github.com/isthatarequirement/CAPSTONE</w:t>
        </w:r>
      </w:hyperlink>
    </w:p>
    <w:p w14:paraId="502054A2" w14:textId="77777777" w:rsidR="00485214" w:rsidRDefault="006727D9">
      <w:pPr>
        <w:pStyle w:val="Heading2"/>
      </w:pPr>
      <w:r>
        <w:t>1. Introduction</w:t>
      </w:r>
    </w:p>
    <w:p w14:paraId="035BA3B8" w14:textId="77777777" w:rsidR="00485214" w:rsidRDefault="006727D9">
      <w:r>
        <w:t>COVID-19 overwhelmed healthcare systems globally, particularly ICU capacities in Brazil. Early identification of patients likely to require intensive care is vital for resource optimization. This project aimed to design a transparent, clinically interpretable model predicting ICU admission risk from routinely collected vitals and lab metrics.</w:t>
      </w:r>
    </w:p>
    <w:p w14:paraId="6DA48DA7" w14:textId="77777777" w:rsidR="00485214" w:rsidRDefault="006727D9">
      <w:pPr>
        <w:pStyle w:val="Heading2"/>
      </w:pPr>
      <w:r>
        <w:t>2. Data Description</w:t>
      </w:r>
    </w:p>
    <w:p w14:paraId="5CDB2844" w14:textId="77777777" w:rsidR="00485214" w:rsidRDefault="006727D9">
      <w:r>
        <w:t>Source: Sírio-Libanês Hospital, São Paulo, Brazil. Sample Size: 1,925 patients. Features: 231 variables. Temporal Windows: 0–6h, 6–12h, 12–24h, 24–48h, 48–72h post-admission.</w:t>
      </w:r>
    </w:p>
    <w:p w14:paraId="5EA4A86B" w14:textId="77777777" w:rsidR="00485214" w:rsidRDefault="006727D9">
      <w:pPr>
        <w:pStyle w:val="Heading2"/>
      </w:pPr>
      <w:r>
        <w:t>3. Methods</w:t>
      </w:r>
    </w:p>
    <w:p w14:paraId="6DDE0A67" w14:textId="77777777" w:rsidR="00485214" w:rsidRDefault="006727D9">
      <w:r>
        <w:t>EDA revealed ICU patients had elevated respiratory rates and lower oxygen saturation. The modeling pipeline used Random Forest, Logistic Regression, and XGBoost with a stacked ensemble. Evaluation was 5-fold cross-validation focusing on recall optimization.</w:t>
      </w:r>
    </w:p>
    <w:p w14:paraId="7A420315" w14:textId="77777777" w:rsidR="00485214" w:rsidRDefault="006727D9">
      <w:pPr>
        <w:pStyle w:val="Heading2"/>
      </w:pPr>
      <w:r>
        <w:t>4. Results</w:t>
      </w:r>
    </w:p>
    <w:p w14:paraId="517D2B99" w14:textId="77777777" w:rsidR="00485214" w:rsidRDefault="006727D9">
      <w:r>
        <w:t>Model Performance Metrics:</w:t>
      </w:r>
    </w:p>
    <w:tbl>
      <w:tblPr>
        <w:tblW w:w="0" w:type="auto"/>
        <w:tblLook w:val="04A0" w:firstRow="1" w:lastRow="0" w:firstColumn="1" w:lastColumn="0" w:noHBand="0" w:noVBand="1"/>
      </w:tblPr>
      <w:tblGrid>
        <w:gridCol w:w="4320"/>
        <w:gridCol w:w="4320"/>
      </w:tblGrid>
      <w:tr w:rsidR="00485214" w14:paraId="5C6B2F03" w14:textId="77777777">
        <w:tc>
          <w:tcPr>
            <w:tcW w:w="4320" w:type="dxa"/>
          </w:tcPr>
          <w:p w14:paraId="49FE66DF" w14:textId="77777777" w:rsidR="00485214" w:rsidRDefault="006727D9">
            <w:r>
              <w:t>Metric</w:t>
            </w:r>
          </w:p>
        </w:tc>
        <w:tc>
          <w:tcPr>
            <w:tcW w:w="4320" w:type="dxa"/>
          </w:tcPr>
          <w:p w14:paraId="3FBD4E21" w14:textId="77777777" w:rsidR="00485214" w:rsidRDefault="006727D9">
            <w:r>
              <w:t>Value</w:t>
            </w:r>
          </w:p>
        </w:tc>
      </w:tr>
      <w:tr w:rsidR="00485214" w14:paraId="6CE5A86D" w14:textId="77777777">
        <w:tc>
          <w:tcPr>
            <w:tcW w:w="4320" w:type="dxa"/>
          </w:tcPr>
          <w:p w14:paraId="16F77CEE" w14:textId="77777777" w:rsidR="00485214" w:rsidRDefault="006727D9">
            <w:r>
              <w:t>AUC</w:t>
            </w:r>
          </w:p>
        </w:tc>
        <w:tc>
          <w:tcPr>
            <w:tcW w:w="4320" w:type="dxa"/>
          </w:tcPr>
          <w:p w14:paraId="2F806D16" w14:textId="77777777" w:rsidR="00485214" w:rsidRDefault="006727D9">
            <w:r>
              <w:t>0.85</w:t>
            </w:r>
          </w:p>
        </w:tc>
      </w:tr>
      <w:tr w:rsidR="00485214" w14:paraId="5F309101" w14:textId="77777777">
        <w:tc>
          <w:tcPr>
            <w:tcW w:w="4320" w:type="dxa"/>
          </w:tcPr>
          <w:p w14:paraId="417B49B8" w14:textId="77777777" w:rsidR="00485214" w:rsidRDefault="006727D9">
            <w:r>
              <w:t>Accuracy</w:t>
            </w:r>
          </w:p>
        </w:tc>
        <w:tc>
          <w:tcPr>
            <w:tcW w:w="4320" w:type="dxa"/>
          </w:tcPr>
          <w:p w14:paraId="31C7F5E1" w14:textId="77777777" w:rsidR="00485214" w:rsidRDefault="006727D9">
            <w:r>
              <w:t>0.99</w:t>
            </w:r>
          </w:p>
        </w:tc>
      </w:tr>
      <w:tr w:rsidR="00485214" w14:paraId="1F5D243C" w14:textId="77777777">
        <w:tc>
          <w:tcPr>
            <w:tcW w:w="4320" w:type="dxa"/>
          </w:tcPr>
          <w:p w14:paraId="6537AC27" w14:textId="77777777" w:rsidR="00485214" w:rsidRDefault="006727D9">
            <w:r>
              <w:t>Recall</w:t>
            </w:r>
          </w:p>
        </w:tc>
        <w:tc>
          <w:tcPr>
            <w:tcW w:w="4320" w:type="dxa"/>
          </w:tcPr>
          <w:p w14:paraId="23D43760" w14:textId="77777777" w:rsidR="00485214" w:rsidRDefault="006727D9">
            <w:r>
              <w:t>1.00</w:t>
            </w:r>
          </w:p>
        </w:tc>
      </w:tr>
      <w:tr w:rsidR="00485214" w14:paraId="6CD9D574" w14:textId="77777777">
        <w:tc>
          <w:tcPr>
            <w:tcW w:w="4320" w:type="dxa"/>
          </w:tcPr>
          <w:p w14:paraId="5343DAC7" w14:textId="77777777" w:rsidR="00485214" w:rsidRDefault="006727D9">
            <w:r>
              <w:t>Precision</w:t>
            </w:r>
          </w:p>
        </w:tc>
        <w:tc>
          <w:tcPr>
            <w:tcW w:w="4320" w:type="dxa"/>
          </w:tcPr>
          <w:p w14:paraId="6D2CDAFC" w14:textId="77777777" w:rsidR="00485214" w:rsidRDefault="006727D9">
            <w:r>
              <w:t>0.86</w:t>
            </w:r>
          </w:p>
        </w:tc>
      </w:tr>
      <w:tr w:rsidR="00485214" w14:paraId="3E34E0E7" w14:textId="77777777">
        <w:tc>
          <w:tcPr>
            <w:tcW w:w="4320" w:type="dxa"/>
          </w:tcPr>
          <w:p w14:paraId="7BDEB028" w14:textId="77777777" w:rsidR="00485214" w:rsidRDefault="006727D9">
            <w:r>
              <w:lastRenderedPageBreak/>
              <w:t>Specificity</w:t>
            </w:r>
          </w:p>
        </w:tc>
        <w:tc>
          <w:tcPr>
            <w:tcW w:w="4320" w:type="dxa"/>
          </w:tcPr>
          <w:p w14:paraId="2918F9D3" w14:textId="77777777" w:rsidR="00485214" w:rsidRDefault="006727D9">
            <w:r>
              <w:t>0.99</w:t>
            </w:r>
          </w:p>
        </w:tc>
      </w:tr>
    </w:tbl>
    <w:p w14:paraId="0DA4E22D" w14:textId="77777777" w:rsidR="00485214" w:rsidRDefault="006727D9">
      <w:r>
        <w:rPr>
          <w:noProof/>
        </w:rPr>
        <w:drawing>
          <wp:inline distT="0" distB="0" distL="0" distR="0" wp14:anchorId="6E64AD26" wp14:editId="27537FC5">
            <wp:extent cx="45720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feature_importance.png"/>
                    <pic:cNvPicPr/>
                  </pic:nvPicPr>
                  <pic:blipFill>
                    <a:blip r:embed="rId8"/>
                    <a:stretch>
                      <a:fillRect/>
                    </a:stretch>
                  </pic:blipFill>
                  <pic:spPr>
                    <a:xfrm>
                      <a:off x="0" y="0"/>
                      <a:ext cx="4572000" cy="6096000"/>
                    </a:xfrm>
                    <a:prstGeom prst="rect">
                      <a:avLst/>
                    </a:prstGeom>
                  </pic:spPr>
                </pic:pic>
              </a:graphicData>
            </a:graphic>
          </wp:inline>
        </w:drawing>
      </w:r>
    </w:p>
    <w:p w14:paraId="09858D2D" w14:textId="77777777" w:rsidR="00485214" w:rsidRDefault="006727D9">
      <w:r>
        <w:t>Figure 3: Random Forest Feature Importances</w:t>
      </w:r>
    </w:p>
    <w:p w14:paraId="6385ACFF" w14:textId="77777777" w:rsidR="00485214" w:rsidRDefault="006727D9">
      <w:r>
        <w:rPr>
          <w:noProof/>
        </w:rPr>
        <w:lastRenderedPageBreak/>
        <w:drawing>
          <wp:inline distT="0" distB="0" distL="0" distR="0" wp14:anchorId="495970DF" wp14:editId="074BFFB8">
            <wp:extent cx="4572000"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_feature_importance.png"/>
                    <pic:cNvPicPr/>
                  </pic:nvPicPr>
                  <pic:blipFill>
                    <a:blip r:embed="rId9"/>
                    <a:stretch>
                      <a:fillRect/>
                    </a:stretch>
                  </pic:blipFill>
                  <pic:spPr>
                    <a:xfrm>
                      <a:off x="0" y="0"/>
                      <a:ext cx="4572000" cy="6096000"/>
                    </a:xfrm>
                    <a:prstGeom prst="rect">
                      <a:avLst/>
                    </a:prstGeom>
                  </pic:spPr>
                </pic:pic>
              </a:graphicData>
            </a:graphic>
          </wp:inline>
        </w:drawing>
      </w:r>
    </w:p>
    <w:p w14:paraId="1A4A8E94" w14:textId="77777777" w:rsidR="00485214" w:rsidRDefault="006727D9">
      <w:r>
        <w:t>Figure 4: SHAP Feature Importances</w:t>
      </w:r>
    </w:p>
    <w:p w14:paraId="394C725F" w14:textId="77777777" w:rsidR="00485214" w:rsidRDefault="006727D9">
      <w:r>
        <w:rPr>
          <w:noProof/>
        </w:rPr>
        <w:lastRenderedPageBreak/>
        <w:drawing>
          <wp:inline distT="0" distB="0" distL="0" distR="0" wp14:anchorId="099DEE1E" wp14:editId="0AC4B830">
            <wp:extent cx="4572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tion_curve.png"/>
                    <pic:cNvPicPr/>
                  </pic:nvPicPr>
                  <pic:blipFill>
                    <a:blip r:embed="rId10"/>
                    <a:stretch>
                      <a:fillRect/>
                    </a:stretch>
                  </pic:blipFill>
                  <pic:spPr>
                    <a:xfrm>
                      <a:off x="0" y="0"/>
                      <a:ext cx="4572000" cy="3048000"/>
                    </a:xfrm>
                    <a:prstGeom prst="rect">
                      <a:avLst/>
                    </a:prstGeom>
                  </pic:spPr>
                </pic:pic>
              </a:graphicData>
            </a:graphic>
          </wp:inline>
        </w:drawing>
      </w:r>
    </w:p>
    <w:p w14:paraId="44CC7F9A" w14:textId="77777777" w:rsidR="00485214" w:rsidRDefault="006727D9">
      <w:r>
        <w:t>Figure 5: Calibration Curve</w:t>
      </w:r>
    </w:p>
    <w:p w14:paraId="74480FA8" w14:textId="77777777" w:rsidR="00485214" w:rsidRDefault="006727D9">
      <w:pPr>
        <w:pStyle w:val="Heading2"/>
      </w:pPr>
      <w:r>
        <w:t>5. Discussion</w:t>
      </w:r>
    </w:p>
    <w:p w14:paraId="0B8DA2A3" w14:textId="77777777" w:rsidR="00485214" w:rsidRDefault="006727D9">
      <w:r>
        <w:t>Respiratory instability (elevated rate, low O₂) was consistently the most predictive marker for ICU transfer. Limitations include dataset scope and potential SMOTE effects. Ethical handling aligned with GDPR and LGPD compliance.</w:t>
      </w:r>
    </w:p>
    <w:p w14:paraId="53A4EB68" w14:textId="77777777" w:rsidR="00485214" w:rsidRDefault="006727D9">
      <w:pPr>
        <w:pStyle w:val="Heading2"/>
      </w:pPr>
      <w:r>
        <w:t>6. Conclusion and Future Work</w:t>
      </w:r>
    </w:p>
    <w:p w14:paraId="78E7C45A" w14:textId="06986B5F" w:rsidR="00485214" w:rsidRDefault="006727D9">
      <w:r>
        <w:t xml:space="preserve">This project demonstrated interpretable ensemble models for ICU prediction. </w:t>
      </w:r>
      <w:r>
        <w:br/>
      </w:r>
      <w:r>
        <w:br/>
      </w:r>
      <w:proofErr w:type="gramStart"/>
      <w:r>
        <w:t>Future plans</w:t>
      </w:r>
      <w:proofErr w:type="gramEnd"/>
      <w:r>
        <w:t xml:space="preserve"> include deployment in hospital systems.</w:t>
      </w:r>
      <w:r>
        <w:br/>
      </w:r>
      <w:r>
        <w:br/>
        <w:t xml:space="preserve"> </w:t>
      </w:r>
    </w:p>
    <w:sectPr w:rsidR="004852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190784">
    <w:abstractNumId w:val="8"/>
  </w:num>
  <w:num w:numId="2" w16cid:durableId="631911115">
    <w:abstractNumId w:val="6"/>
  </w:num>
  <w:num w:numId="3" w16cid:durableId="902444107">
    <w:abstractNumId w:val="5"/>
  </w:num>
  <w:num w:numId="4" w16cid:durableId="1550149297">
    <w:abstractNumId w:val="4"/>
  </w:num>
  <w:num w:numId="5" w16cid:durableId="1663193337">
    <w:abstractNumId w:val="7"/>
  </w:num>
  <w:num w:numId="6" w16cid:durableId="1897933976">
    <w:abstractNumId w:val="3"/>
  </w:num>
  <w:num w:numId="7" w16cid:durableId="234514278">
    <w:abstractNumId w:val="2"/>
  </w:num>
  <w:num w:numId="8" w16cid:durableId="1064183744">
    <w:abstractNumId w:val="1"/>
  </w:num>
  <w:num w:numId="9" w16cid:durableId="67595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5214"/>
    <w:rsid w:val="006727D9"/>
    <w:rsid w:val="00AA1D8D"/>
    <w:rsid w:val="00B47730"/>
    <w:rsid w:val="00CB0664"/>
    <w:rsid w:val="00FC693F"/>
    <w:rsid w:val="00FD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1E7EE"/>
  <w14:defaultImageDpi w14:val="300"/>
  <w15:docId w15:val="{A79D170E-D6A3-4CBD-8247-FE8D8310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727D9"/>
    <w:rPr>
      <w:color w:val="0000FF" w:themeColor="hyperlink"/>
      <w:u w:val="single"/>
    </w:rPr>
  </w:style>
  <w:style w:type="character" w:styleId="UnresolvedMention">
    <w:name w:val="Unresolved Mention"/>
    <w:basedOn w:val="DefaultParagraphFont"/>
    <w:uiPriority w:val="99"/>
    <w:semiHidden/>
    <w:unhideWhenUsed/>
    <w:rsid w:val="00672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na01.safelinks.protection.outlook.com/?url=https%3A%2F%2Fgithub.com%2Fisthatarequirement%2FCAPSTONE&amp;data=05%7C02%7C%7C6a34fb33f58541d3fa2808de06cf0ef4%7C84df9e7fe9f640afb435aaaaaaaaaaaa%7C1%7C0%7C638955683532262754%7CUnknown%7CTWFpbGZsb3d8eyJFbXB0eU1hcGkiOnRydWUsIlYiOiIwLjAuMDAwMCIsIlAiOiJXaW4zMiIsIkFOIjoiTWFpbCIsIldUIjoyfQ%3D%3D%7C0%7C%7C%7C&amp;sdata=k0SGTjJZopOcsIOKxiRFqKxDUXnZRRgxn%2B44spXXkic%3D&amp;reserved=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weber-ai/COVID19_ICU_Predi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382</Words>
  <Characters>2501</Characters>
  <Application>Microsoft Office Word</Application>
  <DocSecurity>0</DocSecurity>
  <Lines>64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Nate Weber</cp:lastModifiedBy>
  <cp:revision>2</cp:revision>
  <dcterms:created xsi:type="dcterms:W3CDTF">2025-10-20T21:17:00Z</dcterms:created>
  <dcterms:modified xsi:type="dcterms:W3CDTF">2025-10-20T21:17:00Z</dcterms:modified>
  <cp:category/>
</cp:coreProperties>
</file>