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c3fa5bc2e5bb68cd6fdf66470cfc1b759a3849f"/>
    <w:p>
      <w:pPr>
        <w:pStyle w:val="Heading1"/>
      </w:pPr>
      <w:r>
        <w:t xml:space="preserve">Documentation Technique — Indices Synthétiques de Sécurité Internet</w:t>
      </w:r>
    </w:p>
    <w:bookmarkStart w:id="16" w:name="Xdf6dbb454582fefabf0103df04632d5257ff8e0"/>
    <w:p>
      <w:pPr>
        <w:pStyle w:val="Heading2"/>
      </w:pPr>
      <w:r>
        <w:t xml:space="preserve">Conception, Formules et Méthodologie de Calcul</w:t>
      </w:r>
    </w:p>
    <w:p>
      <w:r>
        <w:pict>
          <v:rect style="width:0;height:1.5pt" o:hralign="center" o:hrstd="t" o:hr="t"/>
        </w:pict>
      </w:r>
    </w:p>
    <w:p>
      <w:pPr>
        <w:pStyle w:val="FirstParagraph"/>
      </w:pPr>
      <w:r>
        <w:rPr>
          <w:b/>
          <w:bCs/>
        </w:rPr>
        <w:t xml:space="preserve">Auteur :</w:t>
      </w:r>
      <w:r>
        <w:t xml:space="preserve"> </w:t>
      </w:r>
      <w:r>
        <w:t xml:space="preserve">Issakha Thiam</w:t>
      </w:r>
    </w:p>
    <w:p>
      <w:pPr>
        <w:pStyle w:val="BodyText"/>
      </w:pPr>
      <w:r>
        <w:rPr>
          <w:b/>
          <w:bCs/>
        </w:rPr>
        <w:t xml:space="preserve">Adresse électronique :</w:t>
      </w:r>
      <w:r>
        <w:t xml:space="preserve"> </w:t>
      </w:r>
      <w:r>
        <w:t xml:space="preserve">Issakha.THIAM@uca.fr</w:t>
      </w:r>
    </w:p>
    <w:p>
      <w:pPr>
        <w:pStyle w:val="BodyText"/>
      </w:pPr>
      <w:r>
        <w:rPr>
          <w:b/>
          <w:bCs/>
        </w:rPr>
        <w:t xml:space="preserve">Projet :</w:t>
      </w:r>
      <w:r>
        <w:t xml:space="preserve"> </w:t>
      </w:r>
      <w:r>
        <w:t xml:space="preserve">Analyse de la Sécurité Internet — Cloudflare Radar API v4</w:t>
      </w:r>
    </w:p>
    <w:p>
      <w:pPr>
        <w:pStyle w:val="BodyText"/>
      </w:pPr>
      <w:r>
        <w:rPr>
          <w:b/>
          <w:bCs/>
        </w:rPr>
        <w:t xml:space="preserve">Date :</w:t>
      </w:r>
      <w:r>
        <w:t xml:space="preserve"> </w:t>
      </w:r>
      <w:r>
        <w:t xml:space="preserve">Juin 2026</w:t>
      </w:r>
    </w:p>
    <w:p>
      <w:r>
        <w:pict>
          <v:rect style="width:0;height:1.5pt" o:hralign="center" o:hrstd="t" o:hr="t"/>
        </w:pict>
      </w:r>
    </w:p>
    <w:bookmarkEnd w:id="16"/>
    <w:bookmarkStart w:id="19" w:name="introduction-et-objectifs"/>
    <w:p>
      <w:pPr>
        <w:pStyle w:val="Heading2"/>
      </w:pPr>
      <w:r>
        <w:t xml:space="preserve">1. Introduction et Objectifs</w:t>
      </w:r>
    </w:p>
    <w:p>
      <w:pPr>
        <w:pStyle w:val="FirstParagraph"/>
      </w:pPr>
      <w:r>
        <w:t xml:space="preserve">Ce document décrit la conception technique de trois indices synthétiques originaux développés dans le cadre de l’analyse longitudinale de la sécurité internet à partir des données Cloudflare Radar (juin 2025 – juin 2026) :</w:t>
      </w:r>
    </w:p>
    <w:p>
      <w:pPr>
        <w:pStyle w:val="Compact"/>
        <w:numPr>
          <w:ilvl w:val="0"/>
          <w:numId w:val="1001"/>
        </w:numPr>
      </w:pPr>
      <w:r>
        <w:rPr>
          <w:b/>
          <w:bCs/>
        </w:rPr>
        <w:t xml:space="preserve">ISE</w:t>
      </w:r>
      <w:r>
        <w:t xml:space="preserve"> </w:t>
      </w:r>
      <w:r>
        <w:t xml:space="preserve">— Index de Sécurité Email (</w:t>
      </w:r>
      <w:r>
        <w:rPr>
          <w:i/>
          <w:iCs/>
        </w:rPr>
        <w:t xml:space="preserve">Email Security Index</w:t>
      </w:r>
      <w:r>
        <w:t xml:space="preserve">)</w:t>
      </w:r>
    </w:p>
    <w:p>
      <w:pPr>
        <w:pStyle w:val="Compact"/>
        <w:numPr>
          <w:ilvl w:val="0"/>
          <w:numId w:val="1001"/>
        </w:numPr>
      </w:pPr>
      <w:r>
        <w:rPr>
          <w:b/>
          <w:bCs/>
        </w:rPr>
        <w:t xml:space="preserve">IMP</w:t>
      </w:r>
      <w:r>
        <w:t xml:space="preserve"> </w:t>
      </w:r>
      <w:r>
        <w:t xml:space="preserve">— Index de Maturité Protocolaire (</w:t>
      </w:r>
      <w:r>
        <w:rPr>
          <w:i/>
          <w:iCs/>
        </w:rPr>
        <w:t xml:space="preserve">Protocol Maturity Index</w:t>
      </w:r>
      <w:r>
        <w:t xml:space="preserve">)</w:t>
      </w:r>
    </w:p>
    <w:p>
      <w:pPr>
        <w:pStyle w:val="Compact"/>
        <w:numPr>
          <w:ilvl w:val="0"/>
          <w:numId w:val="1001"/>
        </w:numPr>
      </w:pPr>
      <w:r>
        <w:rPr>
          <w:b/>
          <w:bCs/>
        </w:rPr>
        <w:t xml:space="preserve">IVC</w:t>
      </w:r>
      <w:r>
        <w:t xml:space="preserve"> </w:t>
      </w:r>
      <w:r>
        <w:t xml:space="preserve">— Index de Vulnérabilité Composite (</w:t>
      </w:r>
      <w:r>
        <w:rPr>
          <w:i/>
          <w:iCs/>
        </w:rPr>
        <w:t xml:space="preserve">Composite Vulnerability Index</w:t>
      </w:r>
      <w:r>
        <w:t xml:space="preserve">)</w:t>
      </w:r>
    </w:p>
    <w:p>
      <w:pPr>
        <w:pStyle w:val="FirstParagraph"/>
      </w:pPr>
      <w:r>
        <w:t xml:space="preserve">Ces indices répondent à un besoin commun en sécurité internet : disposer d’un</w:t>
      </w:r>
      <w:r>
        <w:t xml:space="preserve"> </w:t>
      </w:r>
      <w:r>
        <w:rPr>
          <w:b/>
          <w:bCs/>
        </w:rPr>
        <w:t xml:space="preserve">score synthétique</w:t>
      </w:r>
      <w:r>
        <w:t xml:space="preserve"> </w:t>
      </w:r>
      <w:r>
        <w:t xml:space="preserve">permettant de comparer des états de sécurité hétérogènes (temporels ou géographiques) à partir de variables multiples exprimées dans des unités différentes.</w:t>
      </w:r>
    </w:p>
    <w:bookmarkStart w:id="17" w:name="principes-de-conception"/>
    <w:p>
      <w:pPr>
        <w:pStyle w:val="Heading3"/>
      </w:pPr>
      <w:r>
        <w:t xml:space="preserve">1.1 Principes de Conception</w:t>
      </w:r>
    </w:p>
    <w:p>
      <w:pPr>
        <w:pStyle w:val="FirstParagraph"/>
      </w:pPr>
      <w:r>
        <w:t xml:space="preserve">Tous les indices respectent les principes suivants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Principe</w:t>
            </w:r>
          </w:p>
        </w:tc>
        <w:tc>
          <w:tcPr/>
          <w:p>
            <w:pPr>
              <w:pStyle w:val="Compact"/>
            </w:pPr>
            <w:r>
              <w:t xml:space="preserve">Description</w:t>
            </w:r>
          </w:p>
        </w:tc>
      </w:tr>
      <w:tr>
        <w:tc>
          <w:tcPr/>
          <w:p>
            <w:pPr>
              <w:pStyle w:val="Compact"/>
            </w:pPr>
            <w:r>
              <w:rPr>
                <w:b/>
                <w:bCs/>
              </w:rPr>
              <w:t xml:space="preserve">Interprétabilité</w:t>
            </w:r>
          </w:p>
        </w:tc>
        <w:tc>
          <w:tcPr/>
          <w:p>
            <w:pPr>
              <w:pStyle w:val="Compact"/>
            </w:pPr>
            <w:r>
              <w:t xml:space="preserve">Score sur une plage définie [0, 100], plus élevé = meilleur (ISE, IMP) ou plus risqué (IVC)</w:t>
            </w:r>
          </w:p>
        </w:tc>
      </w:tr>
      <w:tr>
        <w:tc>
          <w:tcPr/>
          <w:p>
            <w:pPr>
              <w:pStyle w:val="Compact"/>
            </w:pPr>
            <w:r>
              <w:rPr>
                <w:b/>
                <w:bCs/>
              </w:rPr>
              <w:t xml:space="preserve">Transparence</w:t>
            </w:r>
          </w:p>
        </w:tc>
        <w:tc>
          <w:tcPr/>
          <w:p>
            <w:pPr>
              <w:pStyle w:val="Compact"/>
            </w:pPr>
            <w:r>
              <w:t xml:space="preserve">Formule explicite, pondérations documentées, reproductible depuis les données brutes</w:t>
            </w:r>
          </w:p>
        </w:tc>
      </w:tr>
      <w:tr>
        <w:tc>
          <w:tcPr/>
          <w:p>
            <w:pPr>
              <w:pStyle w:val="Compact"/>
            </w:pPr>
            <w:r>
              <w:rPr>
                <w:b/>
                <w:bCs/>
              </w:rPr>
              <w:t xml:space="preserve">Robustesse</w:t>
            </w:r>
          </w:p>
        </w:tc>
        <w:tc>
          <w:tcPr/>
          <w:p>
            <w:pPr>
              <w:pStyle w:val="Compact"/>
            </w:pPr>
            <w:r>
              <w:t xml:space="preserve">Normalisation min-max pour éliminer les effets d’échelle entre variables</w:t>
            </w:r>
          </w:p>
        </w:tc>
      </w:tr>
      <w:tr>
        <w:tc>
          <w:tcPr/>
          <w:p>
            <w:pPr>
              <w:pStyle w:val="Compact"/>
            </w:pPr>
            <w:r>
              <w:rPr>
                <w:b/>
                <w:bCs/>
              </w:rPr>
              <w:t xml:space="preserve">Tolérance aux données manquantes</w:t>
            </w:r>
          </w:p>
        </w:tc>
        <w:tc>
          <w:tcPr/>
          <w:p>
            <w:pPr>
              <w:pStyle w:val="Compact"/>
            </w:pPr>
            <w:r>
              <w:t xml:space="preserve">Calcul partiel si au moins 50% des composantes sont disponibles</w:t>
            </w:r>
          </w:p>
        </w:tc>
      </w:tr>
      <w:tr>
        <w:tc>
          <w:tcPr/>
          <w:p>
            <w:pPr>
              <w:pStyle w:val="Compact"/>
            </w:pPr>
            <w:r>
              <w:rPr>
                <w:b/>
                <w:bCs/>
              </w:rPr>
              <w:t xml:space="preserve">Sensibilité directionnelle</w:t>
            </w:r>
          </w:p>
        </w:tc>
        <w:tc>
          <w:tcPr/>
          <w:p>
            <w:pPr>
              <w:pStyle w:val="Compact"/>
            </w:pPr>
            <w:r>
              <w:t xml:space="preserve">Chaque composante orientée dans le sens attendu (hausse = meilleure sécurité ou hausse = plus de risque, selon l’indice)</w:t>
            </w:r>
          </w:p>
        </w:tc>
      </w:tr>
    </w:tbl>
    <w:bookmarkEnd w:id="17"/>
    <w:bookmarkStart w:id="18" w:name="données-sources"/>
    <w:p>
      <w:pPr>
        <w:pStyle w:val="Heading3"/>
      </w:pPr>
      <w:r>
        <w:t xml:space="preserve">1.2 Données Sources</w:t>
      </w:r>
    </w:p>
    <w:p>
      <w:pPr>
        <w:pStyle w:val="FirstParagraph"/>
      </w:pPr>
      <w:r>
        <w:t xml:space="preserve">Les données sources proviennent de l’API Cloudflare Radar v4, collectées via le script</w:t>
      </w:r>
      <w:r>
        <w:t xml:space="preserve"> </w:t>
      </w:r>
      <w:r>
        <w:rPr>
          <w:rStyle w:val="VerbatimChar"/>
        </w:rPr>
        <w:t xml:space="preserve">phase_A_preparation.py</w:t>
      </w:r>
      <w:r>
        <w:t xml:space="preserve"> </w:t>
      </w:r>
      <w:r>
        <w:t xml:space="preserve">et nettoyées par</w:t>
      </w:r>
      <w:r>
        <w:t xml:space="preserve"> </w:t>
      </w:r>
      <w:r>
        <w:rPr>
          <w:rStyle w:val="VerbatimChar"/>
        </w:rPr>
        <w:t xml:space="preserve">phase_B_descriptif.py</w:t>
      </w:r>
      <w:r>
        <w:t xml:space="preserve">. Toutes les variables sont des pourcentages ou des scores normalisés sur une période de 53 semaines consécutives (juin 2025 – juin 2026).</w:t>
      </w:r>
    </w:p>
    <w:p>
      <w:r>
        <w:pict>
          <v:rect style="width:0;height:1.5pt" o:hralign="center" o:hrstd="t" o:hr="t"/>
        </w:pict>
      </w:r>
    </w:p>
    <w:bookmarkEnd w:id="18"/>
    <w:bookmarkEnd w:id="19"/>
    <w:bookmarkStart w:id="29" w:name="ise-index-de-sécurité-email"/>
    <w:p>
      <w:pPr>
        <w:pStyle w:val="Heading2"/>
      </w:pPr>
      <w:r>
        <w:t xml:space="preserve">2. ISE — Index de Sécurité Email</w:t>
      </w:r>
    </w:p>
    <w:bookmarkStart w:id="20" w:name="contexte-et-motivation"/>
    <w:p>
      <w:pPr>
        <w:pStyle w:val="Heading3"/>
      </w:pPr>
      <w:r>
        <w:t xml:space="preserve">2.1 Contexte et Motivation</w:t>
      </w:r>
    </w:p>
    <w:p>
      <w:pPr>
        <w:pStyle w:val="FirstParagraph"/>
      </w:pPr>
      <w:r>
        <w:t xml:space="preserve">La sécurité email repose sur la triade SPF/DKIM/DMARC pour l’authentification de l’origine des messages, et est menacée par le spoofing, le spam et les contenus malicieux. Aucun de ces six indicateurs pris isolément ne permet d’évaluer la sécurité email globale :</w:t>
      </w:r>
    </w:p>
    <w:p>
      <w:pPr>
        <w:pStyle w:val="Compact"/>
        <w:numPr>
          <w:ilvl w:val="0"/>
          <w:numId w:val="1002"/>
        </w:numPr>
      </w:pPr>
      <w:r>
        <w:t xml:space="preserve">Des scores d’authentification élevés (DMARC PASS = 87.9%) peuvent coexister avec une menace croissante (SPOOF = 17.2% en hausse)</w:t>
      </w:r>
    </w:p>
    <w:p>
      <w:pPr>
        <w:pStyle w:val="Compact"/>
        <w:numPr>
          <w:ilvl w:val="0"/>
          <w:numId w:val="1002"/>
        </w:numPr>
      </w:pPr>
      <w:r>
        <w:t xml:space="preserve">Le SPAM peut baisser pendant que le MALICIOUS augmente (tendances opposées observées sur la période)</w:t>
      </w:r>
    </w:p>
    <w:p>
      <w:pPr>
        <w:pStyle w:val="FirstParagraph"/>
      </w:pPr>
      <w:r>
        <w:t xml:space="preserve">L’ISE agrège ces six dimensions en un score unique reflétant simultanément les capacités de protection et le niveau de menace.</w:t>
      </w:r>
    </w:p>
    <w:bookmarkEnd w:id="20"/>
    <w:bookmarkStart w:id="21" w:name="variables-utilisées"/>
    <w:p>
      <w:pPr>
        <w:pStyle w:val="Heading3"/>
      </w:pPr>
      <w:r>
        <w:t xml:space="preserve">2.2 Variables Utilisées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Variable</w:t>
            </w:r>
          </w:p>
        </w:tc>
        <w:tc>
          <w:tcPr/>
          <w:p>
            <w:pPr>
              <w:pStyle w:val="Compact"/>
            </w:pPr>
            <w:r>
              <w:t xml:space="preserve">Source</w:t>
            </w:r>
          </w:p>
        </w:tc>
        <w:tc>
          <w:tcPr/>
          <w:p>
            <w:pPr>
              <w:pStyle w:val="Compact"/>
            </w:pPr>
            <w:r>
              <w:t xml:space="preserve">Unité</w:t>
            </w:r>
          </w:p>
        </w:tc>
        <w:tc>
          <w:tcPr/>
          <w:p>
            <w:pPr>
              <w:pStyle w:val="Compact"/>
            </w:pPr>
            <w:r>
              <w:t xml:space="preserve">Signification</w:t>
            </w:r>
          </w:p>
        </w:tc>
        <w:tc>
          <w:tcPr/>
          <w:p>
            <w:pPr>
              <w:pStyle w:val="Compact"/>
            </w:pPr>
            <w:r>
              <w:t xml:space="preserve">Direction</w:t>
            </w:r>
          </w:p>
        </w:tc>
      </w:tr>
      <w:tr>
        <w:tc>
          <w:tcPr/>
          <w:p>
            <w:pPr>
              <w:pStyle w:val="Compact"/>
            </w:pPr>
            <w:r>
              <w:rPr>
                <w:rStyle w:val="VerbatimChar"/>
              </w:rPr>
              <w:t xml:space="preserve">DMARC_PASS</w:t>
            </w:r>
          </w:p>
        </w:tc>
        <w:tc>
          <w:tcPr/>
          <w:p>
            <w:pPr>
              <w:pStyle w:val="Compact"/>
            </w:pPr>
            <w:r>
              <w:t xml:space="preserve">email_dmarc_clean.csv</w:t>
            </w:r>
          </w:p>
        </w:tc>
        <w:tc>
          <w:tcPr/>
          <w:p>
            <w:pPr>
              <w:pStyle w:val="Compact"/>
            </w:pPr>
            <w:r>
              <w:t xml:space="preserve">%</w:t>
            </w:r>
          </w:p>
        </w:tc>
        <w:tc>
          <w:tcPr/>
          <w:p>
            <w:pPr>
              <w:pStyle w:val="Compact"/>
            </w:pPr>
            <w:r>
              <w:t xml:space="preserve">Emails passant la validation DMARC</w:t>
            </w:r>
          </w:p>
        </w:tc>
        <w:tc>
          <w:tcPr/>
          <w:p>
            <w:pPr>
              <w:pStyle w:val="Compact"/>
            </w:pPr>
            <w:r>
              <w:t xml:space="preserve">Positive (↑ = meilleur)</w:t>
            </w:r>
          </w:p>
        </w:tc>
      </w:tr>
      <w:tr>
        <w:tc>
          <w:tcPr/>
          <w:p>
            <w:pPr>
              <w:pStyle w:val="Compact"/>
            </w:pPr>
            <w:r>
              <w:rPr>
                <w:rStyle w:val="VerbatimChar"/>
              </w:rPr>
              <w:t xml:space="preserve">DKIM_PASS</w:t>
            </w:r>
          </w:p>
        </w:tc>
        <w:tc>
          <w:tcPr/>
          <w:p>
            <w:pPr>
              <w:pStyle w:val="Compact"/>
            </w:pPr>
            <w:r>
              <w:t xml:space="preserve">email_dkim_clean.csv</w:t>
            </w:r>
          </w:p>
        </w:tc>
        <w:tc>
          <w:tcPr/>
          <w:p>
            <w:pPr>
              <w:pStyle w:val="Compact"/>
            </w:pPr>
            <w:r>
              <w:t xml:space="preserve">%</w:t>
            </w:r>
          </w:p>
        </w:tc>
        <w:tc>
          <w:tcPr/>
          <w:p>
            <w:pPr>
              <w:pStyle w:val="Compact"/>
            </w:pPr>
            <w:r>
              <w:t xml:space="preserve">Emails avec signature DKIM valide</w:t>
            </w:r>
          </w:p>
        </w:tc>
        <w:tc>
          <w:tcPr/>
          <w:p>
            <w:pPr>
              <w:pStyle w:val="Compact"/>
            </w:pPr>
            <w:r>
              <w:t xml:space="preserve">Positive</w:t>
            </w:r>
          </w:p>
        </w:tc>
      </w:tr>
      <w:tr>
        <w:tc>
          <w:tcPr/>
          <w:p>
            <w:pPr>
              <w:pStyle w:val="Compact"/>
            </w:pPr>
            <w:r>
              <w:rPr>
                <w:rStyle w:val="VerbatimChar"/>
              </w:rPr>
              <w:t xml:space="preserve">SPF_PASS</w:t>
            </w:r>
          </w:p>
        </w:tc>
        <w:tc>
          <w:tcPr/>
          <w:p>
            <w:pPr>
              <w:pStyle w:val="Compact"/>
            </w:pPr>
            <w:r>
              <w:t xml:space="preserve">email_spf_clean.csv</w:t>
            </w:r>
          </w:p>
        </w:tc>
        <w:tc>
          <w:tcPr/>
          <w:p>
            <w:pPr>
              <w:pStyle w:val="Compact"/>
            </w:pPr>
            <w:r>
              <w:t xml:space="preserve">%</w:t>
            </w:r>
          </w:p>
        </w:tc>
        <w:tc>
          <w:tcPr/>
          <w:p>
            <w:pPr>
              <w:pStyle w:val="Compact"/>
            </w:pPr>
            <w:r>
              <w:t xml:space="preserve">Emails avec enregistrement SPF valide</w:t>
            </w:r>
          </w:p>
        </w:tc>
        <w:tc>
          <w:tcPr/>
          <w:p>
            <w:pPr>
              <w:pStyle w:val="Compact"/>
            </w:pPr>
            <w:r>
              <w:t xml:space="preserve">Positive</w:t>
            </w:r>
          </w:p>
        </w:tc>
      </w:tr>
      <w:tr>
        <w:tc>
          <w:tcPr/>
          <w:p>
            <w:pPr>
              <w:pStyle w:val="Compact"/>
            </w:pPr>
            <w:r>
              <w:rPr>
                <w:rStyle w:val="VerbatimChar"/>
              </w:rPr>
              <w:t xml:space="preserve">SPAM</w:t>
            </w:r>
          </w:p>
        </w:tc>
        <w:tc>
          <w:tcPr/>
          <w:p>
            <w:pPr>
              <w:pStyle w:val="Compact"/>
            </w:pPr>
            <w:r>
              <w:t xml:space="preserve">email_spam_clean.csv</w:t>
            </w:r>
          </w:p>
        </w:tc>
        <w:tc>
          <w:tcPr/>
          <w:p>
            <w:pPr>
              <w:pStyle w:val="Compact"/>
            </w:pPr>
            <w:r>
              <w:t xml:space="preserve">%</w:t>
            </w:r>
          </w:p>
        </w:tc>
        <w:tc>
          <w:tcPr/>
          <w:p>
            <w:pPr>
              <w:pStyle w:val="Compact"/>
            </w:pPr>
            <w:r>
              <w:t xml:space="preserve">Emails classifiés comme spam</w:t>
            </w:r>
          </w:p>
        </w:tc>
        <w:tc>
          <w:tcPr/>
          <w:p>
            <w:pPr>
              <w:pStyle w:val="Compact"/>
            </w:pPr>
            <w:r>
              <w:t xml:space="preserve">Négative (↑ = pire)</w:t>
            </w:r>
          </w:p>
        </w:tc>
      </w:tr>
      <w:tr>
        <w:tc>
          <w:tcPr/>
          <w:p>
            <w:pPr>
              <w:pStyle w:val="Compact"/>
            </w:pPr>
            <w:r>
              <w:rPr>
                <w:rStyle w:val="VerbatimChar"/>
              </w:rPr>
              <w:t xml:space="preserve">SPOOF</w:t>
            </w:r>
          </w:p>
        </w:tc>
        <w:tc>
          <w:tcPr/>
          <w:p>
            <w:pPr>
              <w:pStyle w:val="Compact"/>
            </w:pPr>
            <w:r>
              <w:t xml:space="preserve">email_spoof_clean.csv</w:t>
            </w:r>
          </w:p>
        </w:tc>
        <w:tc>
          <w:tcPr/>
          <w:p>
            <w:pPr>
              <w:pStyle w:val="Compact"/>
            </w:pPr>
            <w:r>
              <w:t xml:space="preserve">%</w:t>
            </w:r>
          </w:p>
        </w:tc>
        <w:tc>
          <w:tcPr/>
          <w:p>
            <w:pPr>
              <w:pStyle w:val="Compact"/>
            </w:pPr>
            <w:r>
              <w:t xml:space="preserve">Emails de type spoofing détectés</w:t>
            </w:r>
          </w:p>
        </w:tc>
        <w:tc>
          <w:tcPr/>
          <w:p>
            <w:pPr>
              <w:pStyle w:val="Compact"/>
            </w:pPr>
            <w:r>
              <w:t xml:space="preserve">Négative</w:t>
            </w:r>
          </w:p>
        </w:tc>
      </w:tr>
      <w:tr>
        <w:tc>
          <w:tcPr/>
          <w:p>
            <w:pPr>
              <w:pStyle w:val="Compact"/>
            </w:pPr>
            <w:r>
              <w:rPr>
                <w:rStyle w:val="VerbatimChar"/>
              </w:rPr>
              <w:t xml:space="preserve">MALICIOUS</w:t>
            </w:r>
          </w:p>
        </w:tc>
        <w:tc>
          <w:tcPr/>
          <w:p>
            <w:pPr>
              <w:pStyle w:val="Compact"/>
            </w:pPr>
            <w:r>
              <w:t xml:space="preserve">email_malicious_clean.csv</w:t>
            </w:r>
          </w:p>
        </w:tc>
        <w:tc>
          <w:tcPr/>
          <w:p>
            <w:pPr>
              <w:pStyle w:val="Compact"/>
            </w:pPr>
            <w:r>
              <w:t xml:space="preserve">%</w:t>
            </w:r>
          </w:p>
        </w:tc>
        <w:tc>
          <w:tcPr/>
          <w:p>
            <w:pPr>
              <w:pStyle w:val="Compact"/>
            </w:pPr>
            <w:r>
              <w:t xml:space="preserve">Emails classifiés comme malicieux</w:t>
            </w:r>
          </w:p>
        </w:tc>
        <w:tc>
          <w:tcPr/>
          <w:p>
            <w:pPr>
              <w:pStyle w:val="Compact"/>
            </w:pPr>
            <w:r>
              <w:t xml:space="preserve">Négative</w:t>
            </w:r>
          </w:p>
        </w:tc>
      </w:tr>
    </w:tbl>
    <w:bookmarkEnd w:id="21"/>
    <w:bookmarkStart w:id="22" w:name="formule"/>
    <w:p>
      <w:pPr>
        <w:pStyle w:val="Heading3"/>
      </w:pPr>
      <w:r>
        <w:t xml:space="preserve">2.3 Formule</w:t>
      </w:r>
    </w:p>
    <w:p>
      <w:pPr>
        <w:pStyle w:val="SourceCode"/>
      </w:pPr>
      <w:r>
        <w:rPr>
          <w:rStyle w:val="VerbatimChar"/>
        </w:rPr>
        <w:t xml:space="preserve">Score_protection = DMARC_PASS × 0.35 + DKIM_PASS × 0.35 + SPF_PASS × 0.30</w:t>
      </w:r>
      <w:r>
        <w:br/>
      </w:r>
      <w:r>
        <w:br/>
      </w:r>
      <w:r>
        <w:rPr>
          <w:rStyle w:val="VerbatimChar"/>
        </w:rPr>
        <w:t xml:space="preserve">Pénalité_menace = (SPAM + SPOOF + MALICIOUS) / 3 × 0.5</w:t>
      </w:r>
      <w:r>
        <w:br/>
      </w:r>
      <w:r>
        <w:br/>
      </w:r>
      <w:r>
        <w:rPr>
          <w:rStyle w:val="VerbatimChar"/>
        </w:rPr>
        <w:t xml:space="preserve">ISE = Score_protection − Pénalité_menace</w:t>
      </w:r>
    </w:p>
    <w:p>
      <w:pPr>
        <w:pStyle w:val="FirstParagraph"/>
      </w:pPr>
      <w:r>
        <w:rPr>
          <w:b/>
          <w:bCs/>
        </w:rPr>
        <w:t xml:space="preserve">En notation mathématique :</w:t>
      </w:r>
    </w:p>
    <w:p>
      <w:pPr>
        <w:pStyle w:val="BlockText"/>
      </w:pPr>
      <w:r>
        <w:t xml:space="preserve">ISE(t) = (0.35 × DMARC_PASS(t) + 0.35 × DKIM_PASS(t) + 0.30 × SPF_PASS(t)) − 0.5 × ((SPAM(t) + SPOOF(t) + MALICIOUS(t)) / 3)</w:t>
      </w:r>
    </w:p>
    <w:bookmarkEnd w:id="22"/>
    <w:bookmarkStart w:id="25" w:name="justification-des-pondérations"/>
    <w:p>
      <w:pPr>
        <w:pStyle w:val="Heading3"/>
      </w:pPr>
      <w:r>
        <w:t xml:space="preserve">2.4 Justification des Pondérations</w:t>
      </w:r>
    </w:p>
    <w:bookmarkStart w:id="23" w:name="score-de-protection-somme-1.0"/>
    <w:p>
      <w:pPr>
        <w:pStyle w:val="Heading4"/>
      </w:pPr>
      <w:r>
        <w:t xml:space="preserve">Score de protection (somme = 1.0)</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Composante</w:t>
            </w:r>
          </w:p>
        </w:tc>
        <w:tc>
          <w:tcPr/>
          <w:p>
            <w:pPr>
              <w:pStyle w:val="Compact"/>
              <w:jc w:val="right"/>
            </w:pPr>
            <w:r>
              <w:t xml:space="preserve">Poids</w:t>
            </w:r>
          </w:p>
        </w:tc>
        <w:tc>
          <w:tcPr/>
          <w:p>
            <w:pPr>
              <w:pStyle w:val="Compact"/>
            </w:pPr>
            <w:r>
              <w:t xml:space="preserve">Justification</w:t>
            </w:r>
          </w:p>
        </w:tc>
      </w:tr>
      <w:tr>
        <w:tc>
          <w:tcPr/>
          <w:p>
            <w:pPr>
              <w:pStyle w:val="Compact"/>
            </w:pPr>
            <w:r>
              <w:t xml:space="preserve">DMARC PASS</w:t>
            </w:r>
          </w:p>
        </w:tc>
        <w:tc>
          <w:tcPr/>
          <w:p>
            <w:pPr>
              <w:pStyle w:val="Compact"/>
              <w:jc w:val="right"/>
            </w:pPr>
            <w:r>
              <w:t xml:space="preserve">0.35</w:t>
            </w:r>
          </w:p>
        </w:tc>
        <w:tc>
          <w:tcPr/>
          <w:p>
            <w:pPr>
              <w:pStyle w:val="Compact"/>
            </w:pPr>
            <w:r>
              <w:t xml:space="preserve">DMARC est le mécanisme le plus complet : il combine SPF et DKIM et permet une politique d’application (reject/quarantine). Son adoption signale une posture de sécurité active.</w:t>
            </w:r>
          </w:p>
        </w:tc>
      </w:tr>
      <w:tr>
        <w:tc>
          <w:tcPr/>
          <w:p>
            <w:pPr>
              <w:pStyle w:val="Compact"/>
            </w:pPr>
            <w:r>
              <w:t xml:space="preserve">DKIM PASS</w:t>
            </w:r>
          </w:p>
        </w:tc>
        <w:tc>
          <w:tcPr/>
          <w:p>
            <w:pPr>
              <w:pStyle w:val="Compact"/>
              <w:jc w:val="right"/>
            </w:pPr>
            <w:r>
              <w:t xml:space="preserve">0.35</w:t>
            </w:r>
          </w:p>
        </w:tc>
        <w:tc>
          <w:tcPr/>
          <w:p>
            <w:pPr>
              <w:pStyle w:val="Compact"/>
            </w:pPr>
            <w:r>
              <w:t xml:space="preserve">DKIM signe cryptographiquement le contenu du message, empêchant la modification en transit. Sa robustesse est indépendante du chemin de routage.</w:t>
            </w:r>
          </w:p>
        </w:tc>
      </w:tr>
      <w:tr>
        <w:tc>
          <w:tcPr/>
          <w:p>
            <w:pPr>
              <w:pStyle w:val="Compact"/>
            </w:pPr>
            <w:r>
              <w:t xml:space="preserve">SPF PASS</w:t>
            </w:r>
          </w:p>
        </w:tc>
        <w:tc>
          <w:tcPr/>
          <w:p>
            <w:pPr>
              <w:pStyle w:val="Compact"/>
              <w:jc w:val="right"/>
            </w:pPr>
            <w:r>
              <w:t xml:space="preserve">0.30</w:t>
            </w:r>
          </w:p>
        </w:tc>
        <w:tc>
          <w:tcPr/>
          <w:p>
            <w:pPr>
              <w:pStyle w:val="Compact"/>
            </w:pPr>
            <w:r>
              <w:t xml:space="preserve">SPF vérifie l’autorisation de l’IP expéditrice. Moins robuste que DKIM (facile à contourner par relay), d’où son poids légèrement inférieur.</w:t>
            </w:r>
          </w:p>
        </w:tc>
      </w:tr>
    </w:tbl>
    <w:bookmarkEnd w:id="23"/>
    <w:bookmarkStart w:id="24" w:name="pénalité-de-menace-coefficient-0.5"/>
    <w:p>
      <w:pPr>
        <w:pStyle w:val="Heading4"/>
      </w:pPr>
      <w:r>
        <w:t xml:space="preserve">Pénalité de menace (coefficient = 0.5)</w:t>
      </w:r>
    </w:p>
    <w:p>
      <w:pPr>
        <w:pStyle w:val="FirstParagraph"/>
      </w:pPr>
      <w:r>
        <w:t xml:space="preserve">Le coefficient 0.5 appliqué à la moyenne des trois menaces est calibré pour que :</w:t>
      </w:r>
      <w:r>
        <w:t xml:space="preserve"> </w:t>
      </w:r>
      <w:r>
        <w:t xml:space="preserve">- Une situation nominale (SPAM=6%, SPOOF=5%, MALICIOUS=3%) génère une pénalité d’environ 2.3 points</w:t>
      </w:r>
      <w:r>
        <w:t xml:space="preserve"> </w:t>
      </w:r>
      <w:r>
        <w:t xml:space="preserve">- Une situation critique (SPOOF=25%, MALICIOUS=20%, SPAM=15%) génère une pénalité de 10 points</w:t>
      </w:r>
    </w:p>
    <w:p>
      <w:pPr>
        <w:pStyle w:val="BodyText"/>
      </w:pPr>
      <w:r>
        <w:t xml:space="preserve">Ce calibrage évite qu’une menace élevée masque complètement un bon score d’authentification, reflétant la réalité opérationnelle où authentification et menace coexistent.</w:t>
      </w:r>
    </w:p>
    <w:bookmarkEnd w:id="24"/>
    <w:bookmarkEnd w:id="25"/>
    <w:bookmarkStart w:id="26" w:name="plage-théorique-et-interprétation"/>
    <w:p>
      <w:pPr>
        <w:pStyle w:val="Heading3"/>
      </w:pPr>
      <w:r>
        <w:t xml:space="preserve">2.5 Plage Théorique et Interprétation</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right"/>
            </w:pPr>
            <w:r>
              <w:t xml:space="preserve">ISE</w:t>
            </w:r>
          </w:p>
        </w:tc>
        <w:tc>
          <w:tcPr/>
          <w:p>
            <w:pPr>
              <w:pStyle w:val="Compact"/>
            </w:pPr>
            <w:r>
              <w:t xml:space="preserve">Interprétation</w:t>
            </w:r>
          </w:p>
        </w:tc>
      </w:tr>
      <w:tr>
        <w:tc>
          <w:tcPr/>
          <w:p>
            <w:pPr>
              <w:pStyle w:val="Compact"/>
              <w:jc w:val="right"/>
            </w:pPr>
            <w:r>
              <w:t xml:space="preserve">90 – 100</w:t>
            </w:r>
          </w:p>
        </w:tc>
        <w:tc>
          <w:tcPr/>
          <w:p>
            <w:pPr>
              <w:pStyle w:val="Compact"/>
            </w:pPr>
            <w:r>
              <w:t xml:space="preserve">Excellent : authentification quasi-totale, menaces très faibles</w:t>
            </w:r>
          </w:p>
        </w:tc>
      </w:tr>
      <w:tr>
        <w:tc>
          <w:tcPr/>
          <w:p>
            <w:pPr>
              <w:pStyle w:val="Compact"/>
              <w:jc w:val="right"/>
            </w:pPr>
            <w:r>
              <w:t xml:space="preserve">80 – 90</w:t>
            </w:r>
          </w:p>
        </w:tc>
        <w:tc>
          <w:tcPr/>
          <w:p>
            <w:pPr>
              <w:pStyle w:val="Compact"/>
            </w:pPr>
            <w:r>
              <w:t xml:space="preserve">Bon : niveau nominal observé en conditions normales</w:t>
            </w:r>
          </w:p>
        </w:tc>
      </w:tr>
      <w:tr>
        <w:tc>
          <w:tcPr/>
          <w:p>
            <w:pPr>
              <w:pStyle w:val="Compact"/>
              <w:jc w:val="right"/>
            </w:pPr>
            <w:r>
              <w:t xml:space="preserve">70 – 80</w:t>
            </w:r>
          </w:p>
        </w:tc>
        <w:tc>
          <w:tcPr/>
          <w:p>
            <w:pPr>
              <w:pStyle w:val="Compact"/>
            </w:pPr>
            <w:r>
              <w:t xml:space="preserve">Dégradé : soit authentification incomplète, soit menaces élevées</w:t>
            </w:r>
          </w:p>
        </w:tc>
      </w:tr>
      <w:tr>
        <w:tc>
          <w:tcPr/>
          <w:p>
            <w:pPr>
              <w:pStyle w:val="Compact"/>
              <w:jc w:val="right"/>
            </w:pPr>
            <w:r>
              <w:t xml:space="preserve">60 – 70</w:t>
            </w:r>
          </w:p>
        </w:tc>
        <w:tc>
          <w:tcPr/>
          <w:p>
            <w:pPr>
              <w:pStyle w:val="Compact"/>
            </w:pPr>
            <w:r>
              <w:t xml:space="preserve">Critique : combinaison de faiblesse d’authentification et de menaces fortes</w:t>
            </w:r>
          </w:p>
        </w:tc>
      </w:tr>
      <w:tr>
        <w:tc>
          <w:tcPr/>
          <w:p>
            <w:pPr>
              <w:pStyle w:val="Compact"/>
              <w:jc w:val="right"/>
            </w:pPr>
            <w:r>
              <w:t xml:space="preserve">&lt; 60</w:t>
            </w:r>
          </w:p>
        </w:tc>
        <w:tc>
          <w:tcPr/>
          <w:p>
            <w:pPr>
              <w:pStyle w:val="Compact"/>
            </w:pPr>
            <w:r>
              <w:t xml:space="preserve">Très critique : situation de crise email</w:t>
            </w:r>
          </w:p>
        </w:tc>
      </w:tr>
    </w:tbl>
    <w:p>
      <w:pPr>
        <w:pStyle w:val="BodyText"/>
      </w:pPr>
      <w:r>
        <w:rPr>
          <w:b/>
          <w:bCs/>
        </w:rPr>
        <w:t xml:space="preserve">Valeurs observées sur la période (juin 2025 – juin 2026)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Statistique</w:t>
            </w:r>
          </w:p>
        </w:tc>
        <w:tc>
          <w:tcPr/>
          <w:p>
            <w:pPr>
              <w:pStyle w:val="Compact"/>
              <w:jc w:val="right"/>
            </w:pPr>
            <w:r>
              <w:t xml:space="preserve">Valeur</w:t>
            </w:r>
          </w:p>
        </w:tc>
      </w:tr>
      <w:tr>
        <w:tc>
          <w:tcPr/>
          <w:p>
            <w:pPr>
              <w:pStyle w:val="Compact"/>
            </w:pPr>
            <w:r>
              <w:t xml:space="preserve">Minimum</w:t>
            </w:r>
          </w:p>
        </w:tc>
        <w:tc>
          <w:tcPr/>
          <w:p>
            <w:pPr>
              <w:pStyle w:val="Compact"/>
              <w:jc w:val="right"/>
            </w:pPr>
            <w:r>
              <w:t xml:space="preserve">68.4 / 100 (semaine du 18 mai 2026)</w:t>
            </w:r>
          </w:p>
        </w:tc>
      </w:tr>
      <w:tr>
        <w:tc>
          <w:tcPr/>
          <w:p>
            <w:pPr>
              <w:pStyle w:val="Compact"/>
            </w:pPr>
            <w:r>
              <w:t xml:space="preserve">Maximum</w:t>
            </w:r>
          </w:p>
        </w:tc>
        <w:tc>
          <w:tcPr/>
          <w:p>
            <w:pPr>
              <w:pStyle w:val="Compact"/>
              <w:jc w:val="right"/>
            </w:pPr>
            <w:r>
              <w:t xml:space="preserve">90.9 / 100</w:t>
            </w:r>
          </w:p>
        </w:tc>
      </w:tr>
      <w:tr>
        <w:tc>
          <w:tcPr/>
          <w:p>
            <w:pPr>
              <w:pStyle w:val="Compact"/>
            </w:pPr>
            <w:r>
              <w:t xml:space="preserve">Moyenne</w:t>
            </w:r>
          </w:p>
        </w:tc>
        <w:tc>
          <w:tcPr/>
          <w:p>
            <w:pPr>
              <w:pStyle w:val="Compact"/>
              <w:jc w:val="right"/>
            </w:pPr>
            <w:r>
              <w:t xml:space="preserve">80.1 / 100</w:t>
            </w:r>
          </w:p>
        </w:tc>
      </w:tr>
      <w:tr>
        <w:tc>
          <w:tcPr/>
          <w:p>
            <w:pPr>
              <w:pStyle w:val="Compact"/>
            </w:pPr>
            <w:r>
              <w:t xml:space="preserve">Médiane</w:t>
            </w:r>
          </w:p>
        </w:tc>
        <w:tc>
          <w:tcPr/>
          <w:p>
            <w:pPr>
              <w:pStyle w:val="Compact"/>
              <w:jc w:val="right"/>
            </w:pPr>
            <w:r>
              <w:t xml:space="preserve">80.6 / 100</w:t>
            </w:r>
          </w:p>
        </w:tc>
      </w:tr>
      <w:tr>
        <w:tc>
          <w:tcPr/>
          <w:p>
            <w:pPr>
              <w:pStyle w:val="Compact"/>
            </w:pPr>
            <w:r>
              <w:t xml:space="preserve">Écart-type</w:t>
            </w:r>
          </w:p>
        </w:tc>
        <w:tc>
          <w:tcPr/>
          <w:p>
            <w:pPr>
              <w:pStyle w:val="Compact"/>
              <w:jc w:val="right"/>
            </w:pPr>
            <w:r>
              <w:t xml:space="preserve">4.1</w:t>
            </w:r>
          </w:p>
        </w:tc>
      </w:tr>
      <w:tr>
        <w:tc>
          <w:tcPr/>
          <w:p>
            <w:pPr>
              <w:pStyle w:val="Compact"/>
            </w:pPr>
            <w:r>
              <w:t xml:space="preserve">Tendance Mann-Kendall τ</w:t>
            </w:r>
          </w:p>
        </w:tc>
        <w:tc>
          <w:tcPr/>
          <w:p>
            <w:pPr>
              <w:pStyle w:val="Compact"/>
              <w:jc w:val="right"/>
            </w:pPr>
            <w:r>
              <w:t xml:space="preserve">−0.22 (p=0.018 — baisse légère)</w:t>
            </w:r>
          </w:p>
        </w:tc>
      </w:tr>
    </w:tbl>
    <w:bookmarkEnd w:id="26"/>
    <w:bookmarkStart w:id="27" w:name="implémentation-python"/>
    <w:p>
      <w:pPr>
        <w:pStyle w:val="Heading3"/>
      </w:pPr>
      <w:r>
        <w:t xml:space="preserve">2.6 Implémentation Python</w:t>
      </w:r>
    </w:p>
    <w:p>
      <w:pPr>
        <w:pStyle w:val="FirstParagraph"/>
      </w:pPr>
      <w:r>
        <w:t xml:space="preserve">Le calcul est effectué dans</w:t>
      </w:r>
      <w:r>
        <w:t xml:space="preserve"> </w:t>
      </w:r>
      <w:r>
        <w:rPr>
          <w:rStyle w:val="VerbatimChar"/>
        </w:rPr>
        <w:t xml:space="preserve">phase_F_email.py</w:t>
      </w:r>
      <w:r>
        <w:t xml:space="preserve"> </w:t>
      </w:r>
      <w:r>
        <w:t xml:space="preserve">(lignes 236-245) :</w:t>
      </w:r>
    </w:p>
    <w:p>
      <w:pPr>
        <w:pStyle w:val="SourceCode"/>
      </w:pPr>
      <w:r>
        <w:rPr>
          <w:rStyle w:val="NormalTok"/>
        </w:rPr>
        <w:t xml:space="preserve">dmarc_w, dkim_w, spf_w </w:t>
      </w:r>
      <w:r>
        <w:rPr>
          <w:rStyle w:val="OperatorTok"/>
        </w:rPr>
        <w:t xml:space="preserve">=</w:t>
      </w:r>
      <w:r>
        <w:rPr>
          <w:rStyle w:val="NormalTok"/>
        </w:rPr>
        <w:t xml:space="preserve"> </w:t>
      </w:r>
      <w:r>
        <w:rPr>
          <w:rStyle w:val="FloatTok"/>
        </w:rPr>
        <w:t xml:space="preserve">0.35</w:t>
      </w:r>
      <w:r>
        <w:rPr>
          <w:rStyle w:val="NormalTok"/>
        </w:rPr>
        <w:t xml:space="preserve">, </w:t>
      </w:r>
      <w:r>
        <w:rPr>
          <w:rStyle w:val="FloatTok"/>
        </w:rPr>
        <w:t xml:space="preserve">0.35</w:t>
      </w:r>
      <w:r>
        <w:rPr>
          <w:rStyle w:val="NormalTok"/>
        </w:rPr>
        <w:t xml:space="preserve">, </w:t>
      </w:r>
      <w:r>
        <w:rPr>
          <w:rStyle w:val="FloatTok"/>
        </w:rPr>
        <w:t xml:space="preserve">0.30</w:t>
      </w:r>
      <w:r>
        <w:br/>
      </w:r>
      <w:r>
        <w:br/>
      </w:r>
      <w:r>
        <w:rPr>
          <w:rStyle w:val="NormalTok"/>
        </w:rPr>
        <w:t xml:space="preserve">auth_score </w:t>
      </w:r>
      <w:r>
        <w:rPr>
          <w:rStyle w:val="OperatorTok"/>
        </w:rPr>
        <w:t xml:space="preserve">=</w:t>
      </w:r>
      <w:r>
        <w:rPr>
          <w:rStyle w:val="NormalTok"/>
        </w:rPr>
        <w:t xml:space="preserve"> (</w:t>
      </w:r>
      <w:r>
        <w:br/>
      </w:r>
      <w:r>
        <w:rPr>
          <w:rStyle w:val="NormalTok"/>
        </w:rPr>
        <w:t xml:space="preserve">    dmarc[</w:t>
      </w:r>
      <w:r>
        <w:rPr>
          <w:rStyle w:val="StringTok"/>
        </w:rPr>
        <w:t xml:space="preserve">"PASS"</w:t>
      </w:r>
      <w:r>
        <w:rPr>
          <w:rStyle w:val="NormalTok"/>
        </w:rPr>
        <w:t xml:space="preserve">] </w:t>
      </w:r>
      <w:r>
        <w:rPr>
          <w:rStyle w:val="OperatorTok"/>
        </w:rPr>
        <w:t xml:space="preserve">*</w:t>
      </w:r>
      <w:r>
        <w:rPr>
          <w:rStyle w:val="NormalTok"/>
        </w:rPr>
        <w:t xml:space="preserve"> dmarc_w </w:t>
      </w:r>
      <w:r>
        <w:rPr>
          <w:rStyle w:val="OperatorTok"/>
        </w:rPr>
        <w:t xml:space="preserve">+</w:t>
      </w:r>
      <w:r>
        <w:br/>
      </w:r>
      <w:r>
        <w:rPr>
          <w:rStyle w:val="NormalTok"/>
        </w:rPr>
        <w:t xml:space="preserve">    dkim[</w:t>
      </w:r>
      <w:r>
        <w:rPr>
          <w:rStyle w:val="StringTok"/>
        </w:rPr>
        <w:t xml:space="preserve">"PASS"</w:t>
      </w:r>
      <w:r>
        <w:rPr>
          <w:rStyle w:val="NormalTok"/>
        </w:rPr>
        <w:t xml:space="preserve">]  </w:t>
      </w:r>
      <w:r>
        <w:rPr>
          <w:rStyle w:val="OperatorTok"/>
        </w:rPr>
        <w:t xml:space="preserve">*</w:t>
      </w:r>
      <w:r>
        <w:rPr>
          <w:rStyle w:val="NormalTok"/>
        </w:rPr>
        <w:t xml:space="preserve"> dkim_w  </w:t>
      </w:r>
      <w:r>
        <w:rPr>
          <w:rStyle w:val="OperatorTok"/>
        </w:rPr>
        <w:t xml:space="preserve">+</w:t>
      </w:r>
      <w:r>
        <w:br/>
      </w:r>
      <w:r>
        <w:rPr>
          <w:rStyle w:val="NormalTok"/>
        </w:rPr>
        <w:t xml:space="preserve">    spf[</w:t>
      </w:r>
      <w:r>
        <w:rPr>
          <w:rStyle w:val="StringTok"/>
        </w:rPr>
        <w:t xml:space="preserve">"PASS"</w:t>
      </w:r>
      <w:r>
        <w:rPr>
          <w:rStyle w:val="NormalTok"/>
        </w:rPr>
        <w:t xml:space="preserve">]   </w:t>
      </w:r>
      <w:r>
        <w:rPr>
          <w:rStyle w:val="OperatorTok"/>
        </w:rPr>
        <w:t xml:space="preserve">*</w:t>
      </w:r>
      <w:r>
        <w:rPr>
          <w:rStyle w:val="NormalTok"/>
        </w:rPr>
        <w:t xml:space="preserve"> spf_w</w:t>
      </w:r>
      <w:r>
        <w:br/>
      </w:r>
      <w:r>
        <w:rPr>
          <w:rStyle w:val="NormalTok"/>
        </w:rPr>
        <w:t xml:space="preserve">)</w:t>
      </w:r>
      <w:r>
        <w:br/>
      </w:r>
      <w:r>
        <w:br/>
      </w:r>
      <w:r>
        <w:rPr>
          <w:rStyle w:val="NormalTok"/>
        </w:rPr>
        <w:t xml:space="preserve">threat_penalty </w:t>
      </w:r>
      <w:r>
        <w:rPr>
          <w:rStyle w:val="OperatorTok"/>
        </w:rPr>
        <w:t xml:space="preserve">=</w:t>
      </w:r>
      <w:r>
        <w:rPr>
          <w:rStyle w:val="NormalTok"/>
        </w:rPr>
        <w:t xml:space="preserve"> (spam[</w:t>
      </w:r>
      <w:r>
        <w:rPr>
          <w:rStyle w:val="StringTok"/>
        </w:rPr>
        <w:t xml:space="preserve">"SPAM"</w:t>
      </w:r>
      <w:r>
        <w:rPr>
          <w:rStyle w:val="NormalTok"/>
        </w:rPr>
        <w:t xml:space="preserve">] </w:t>
      </w:r>
      <w:r>
        <w:rPr>
          <w:rStyle w:val="OperatorTok"/>
        </w:rPr>
        <w:t xml:space="preserve">+</w:t>
      </w:r>
      <w:r>
        <w:rPr>
          <w:rStyle w:val="NormalTok"/>
        </w:rPr>
        <w:t xml:space="preserve"> spoof[</w:t>
      </w:r>
      <w:r>
        <w:rPr>
          <w:rStyle w:val="StringTok"/>
        </w:rPr>
        <w:t xml:space="preserve">"SPOOF"</w:t>
      </w:r>
      <w:r>
        <w:rPr>
          <w:rStyle w:val="NormalTok"/>
        </w:rPr>
        <w:t xml:space="preserve">] </w:t>
      </w:r>
      <w:r>
        <w:rPr>
          <w:rStyle w:val="OperatorTok"/>
        </w:rPr>
        <w:t xml:space="preserve">+</w:t>
      </w:r>
      <w:r>
        <w:rPr>
          <w:rStyle w:val="NormalTok"/>
        </w:rPr>
        <w:t xml:space="preserve"> malic[</w:t>
      </w:r>
      <w:r>
        <w:rPr>
          <w:rStyle w:val="StringTok"/>
        </w:rPr>
        <w:t xml:space="preserve">"MALICIOUS"</w:t>
      </w:r>
      <w:r>
        <w:rPr>
          <w:rStyle w:val="NormalTok"/>
        </w:rPr>
        <w:t xml:space="preserve">]) </w:t>
      </w:r>
      <w:r>
        <w:rPr>
          <w:rStyle w:val="OperatorTok"/>
        </w:rPr>
        <w:t xml:space="preserve">/</w:t>
      </w:r>
      <w:r>
        <w:rPr>
          <w:rStyle w:val="NormalTok"/>
        </w:rPr>
        <w:t xml:space="preserve"> </w:t>
      </w:r>
      <w:r>
        <w:rPr>
          <w:rStyle w:val="DecValTok"/>
        </w:rPr>
        <w:t xml:space="preserve">3</w:t>
      </w:r>
      <w:r>
        <w:br/>
      </w:r>
      <w:r>
        <w:br/>
      </w:r>
      <w:r>
        <w:rPr>
          <w:rStyle w:val="NormalTok"/>
        </w:rPr>
        <w:t xml:space="preserve">ISE </w:t>
      </w:r>
      <w:r>
        <w:rPr>
          <w:rStyle w:val="OperatorTok"/>
        </w:rPr>
        <w:t xml:space="preserve">=</w:t>
      </w:r>
      <w:r>
        <w:rPr>
          <w:rStyle w:val="NormalTok"/>
        </w:rPr>
        <w:t xml:space="preserve"> auth_score </w:t>
      </w:r>
      <w:r>
        <w:rPr>
          <w:rStyle w:val="OperatorTok"/>
        </w:rPr>
        <w:t xml:space="preserve">-</w:t>
      </w:r>
      <w:r>
        <w:rPr>
          <w:rStyle w:val="NormalTok"/>
        </w:rPr>
        <w:t xml:space="preserve"> threat_penalty </w:t>
      </w:r>
      <w:r>
        <w:rPr>
          <w:rStyle w:val="OperatorTok"/>
        </w:rPr>
        <w:t xml:space="preserve">*</w:t>
      </w:r>
      <w:r>
        <w:rPr>
          <w:rStyle w:val="NormalTok"/>
        </w:rPr>
        <w:t xml:space="preserve"> </w:t>
      </w:r>
      <w:r>
        <w:rPr>
          <w:rStyle w:val="FloatTok"/>
        </w:rPr>
        <w:t xml:space="preserve">0.5</w:t>
      </w:r>
    </w:p>
    <w:p>
      <w:pPr>
        <w:pStyle w:val="FirstParagraph"/>
      </w:pPr>
      <w:r>
        <w:t xml:space="preserve">Les séries</w:t>
      </w:r>
      <w:r>
        <w:t xml:space="preserve"> </w:t>
      </w:r>
      <w:r>
        <w:rPr>
          <w:rStyle w:val="VerbatimChar"/>
        </w:rPr>
        <w:t xml:space="preserve">dmarc</w:t>
      </w:r>
      <w:r>
        <w:t xml:space="preserve">,</w:t>
      </w:r>
      <w:r>
        <w:t xml:space="preserve"> </w:t>
      </w:r>
      <w:r>
        <w:rPr>
          <w:rStyle w:val="VerbatimChar"/>
        </w:rPr>
        <w:t xml:space="preserve">dkim</w:t>
      </w:r>
      <w:r>
        <w:t xml:space="preserve">,</w:t>
      </w:r>
      <w:r>
        <w:t xml:space="preserve"> </w:t>
      </w:r>
      <w:r>
        <w:rPr>
          <w:rStyle w:val="VerbatimChar"/>
        </w:rPr>
        <w:t xml:space="preserve">spf</w:t>
      </w:r>
      <w:r>
        <w:t xml:space="preserve">,</w:t>
      </w:r>
      <w:r>
        <w:t xml:space="preserve"> </w:t>
      </w:r>
      <w:r>
        <w:rPr>
          <w:rStyle w:val="VerbatimChar"/>
        </w:rPr>
        <w:t xml:space="preserve">spam</w:t>
      </w:r>
      <w:r>
        <w:t xml:space="preserve">,</w:t>
      </w:r>
      <w:r>
        <w:t xml:space="preserve"> </w:t>
      </w:r>
      <w:r>
        <w:rPr>
          <w:rStyle w:val="VerbatimChar"/>
        </w:rPr>
        <w:t xml:space="preserve">spoof</w:t>
      </w:r>
      <w:r>
        <w:t xml:space="preserve">,</w:t>
      </w:r>
      <w:r>
        <w:t xml:space="preserve"> </w:t>
      </w:r>
      <w:r>
        <w:rPr>
          <w:rStyle w:val="VerbatimChar"/>
        </w:rPr>
        <w:t xml:space="preserve">malic</w:t>
      </w:r>
      <w:r>
        <w:t xml:space="preserve"> </w:t>
      </w:r>
      <w:r>
        <w:t xml:space="preserve">sont des DataFrames indexés par date hebdomadaire.</w:t>
      </w:r>
    </w:p>
    <w:bookmarkEnd w:id="27"/>
    <w:bookmarkStart w:id="28" w:name="validité-et-limites"/>
    <w:p>
      <w:pPr>
        <w:pStyle w:val="Heading3"/>
      </w:pPr>
      <w:r>
        <w:t xml:space="preserve">2.7 Validité et Limites</w:t>
      </w:r>
    </w:p>
    <w:p>
      <w:pPr>
        <w:pStyle w:val="FirstParagraph"/>
      </w:pPr>
      <w:r>
        <w:rPr>
          <w:b/>
          <w:bCs/>
        </w:rPr>
        <w:t xml:space="preserve">Points forts :</w:t>
      </w:r>
      <w:r>
        <w:t xml:space="preserve"> </w:t>
      </w:r>
      <w:r>
        <w:t xml:space="preserve">- Cohérence avec la littérature : les trois poids de protection reflètent la hiérarchie DMARC &gt; DKIM &gt; SPF reconnue par les RFC</w:t>
      </w:r>
      <w:r>
        <w:t xml:space="preserve"> </w:t>
      </w:r>
      <w:r>
        <w:t xml:space="preserve">- Sensibilité aux crises : le minimum de 68.4 correspond exactement à la semaine identifiée comme la plus critique par les quatre méthodes de détection d’anomalies indépendantes (Z-score, IQR, IF, LOF)</w:t>
      </w:r>
    </w:p>
    <w:p>
      <w:pPr>
        <w:pStyle w:val="BodyText"/>
      </w:pPr>
      <w:r>
        <w:rPr>
          <w:b/>
          <w:bCs/>
        </w:rPr>
        <w:t xml:space="preserve">Limites :</w:t>
      </w:r>
      <w:r>
        <w:t xml:space="preserve"> </w:t>
      </w:r>
      <w:r>
        <w:t xml:space="preserve">- La pénalité de menace (0.5) est un choix arbitraire calibré empiriquement ; elle mériterait une validation sur d’autres datasets</w:t>
      </w:r>
      <w:r>
        <w:t xml:space="preserve"> </w:t>
      </w:r>
      <w:r>
        <w:t xml:space="preserve">- L’ISE est calculé sur des données mondiales agrégées ; il masque les disparités régionales (un SPOOF% mondial de 17% peut signifier 5% en Europe et 40% dans certaines régions)</w:t>
      </w:r>
      <w:r>
        <w:t xml:space="preserve"> </w:t>
      </w:r>
      <w:r>
        <w:t xml:space="preserve">- DMARC PASS peut inclure des messages légitimes avec une politique</w:t>
      </w:r>
      <w:r>
        <w:t xml:space="preserve"> </w:t>
      </w:r>
      <w:r>
        <w:rPr>
          <w:rStyle w:val="VerbatimChar"/>
        </w:rPr>
        <w:t xml:space="preserve">p=none</w:t>
      </w:r>
      <w:r>
        <w:t xml:space="preserve"> </w:t>
      </w:r>
      <w:r>
        <w:t xml:space="preserve">(monitoring seulement), surestimant légèrement la protection réelle</w:t>
      </w:r>
    </w:p>
    <w:p>
      <w:r>
        <w:pict>
          <v:rect style="width:0;height:1.5pt" o:hralign="center" o:hrstd="t" o:hr="t"/>
        </w:pict>
      </w:r>
    </w:p>
    <w:bookmarkEnd w:id="28"/>
    <w:bookmarkEnd w:id="29"/>
    <w:bookmarkStart w:id="37" w:name="imp-index-de-maturité-protocolaire"/>
    <w:p>
      <w:pPr>
        <w:pStyle w:val="Heading2"/>
      </w:pPr>
      <w:r>
        <w:t xml:space="preserve">3. IMP — Index de Maturité Protocolaire</w:t>
      </w:r>
    </w:p>
    <w:bookmarkStart w:id="30" w:name="contexte-et-motivation-1"/>
    <w:p>
      <w:pPr>
        <w:pStyle w:val="Heading3"/>
      </w:pPr>
      <w:r>
        <w:t xml:space="preserve">3.1 Contexte et Motivation</w:t>
      </w:r>
    </w:p>
    <w:p>
      <w:pPr>
        <w:pStyle w:val="FirstParagraph"/>
      </w:pPr>
      <w:r>
        <w:t xml:space="preserve">L’adoption des protocoles internet modernes (IPv6, HTTP/3, TLS 1.3) est un indicateur de maturité infrastructure qui influence directement la sécurité : IPv6 avec IPsec natif, TLS 1.3 éliminant des suites cryptographiques vulnérables, HTTP/3 (QUIC) apportant la multiplexion chiffrée. L’IMP permet de</w:t>
      </w:r>
      <w:r>
        <w:t xml:space="preserve"> </w:t>
      </w:r>
      <w:r>
        <w:rPr>
          <w:b/>
          <w:bCs/>
        </w:rPr>
        <w:t xml:space="preserve">classer les pays</w:t>
      </w:r>
      <w:r>
        <w:t xml:space="preserve"> </w:t>
      </w:r>
      <w:r>
        <w:t xml:space="preserve">selon leur niveau d’adoption protocolaire et d’identifier les groupes nécessitant un accompagnement.</w:t>
      </w:r>
    </w:p>
    <w:p>
      <w:pPr>
        <w:pStyle w:val="BodyText"/>
      </w:pPr>
      <w:r>
        <w:t xml:space="preserve">L’IMP est calculé pour chaque pays disposant de données suffisantes (≥ 20 semaines) et répond à la question :</w:t>
      </w:r>
      <w:r>
        <w:t xml:space="preserve"> </w:t>
      </w:r>
      <w:r>
        <w:rPr>
          <w:i/>
          <w:iCs/>
        </w:rPr>
        <w:t xml:space="preserve">“Où en est ce pays dans sa transition vers un internet moderne et sécurisé ?”</w:t>
      </w:r>
    </w:p>
    <w:bookmarkEnd w:id="30"/>
    <w:bookmarkStart w:id="31" w:name="variables-utilisées-1"/>
    <w:p>
      <w:pPr>
        <w:pStyle w:val="Heading3"/>
      </w:pPr>
      <w:r>
        <w:t xml:space="preserve">3.2 Variables Utilisées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Variable</w:t>
            </w:r>
          </w:p>
        </w:tc>
        <w:tc>
          <w:tcPr/>
          <w:p>
            <w:pPr>
              <w:pStyle w:val="Compact"/>
            </w:pPr>
            <w:r>
              <w:t xml:space="preserve">Source</w:t>
            </w:r>
          </w:p>
        </w:tc>
        <w:tc>
          <w:tcPr/>
          <w:p>
            <w:pPr>
              <w:pStyle w:val="Compact"/>
            </w:pPr>
            <w:r>
              <w:t xml:space="preserve">Unité</w:t>
            </w:r>
          </w:p>
        </w:tc>
        <w:tc>
          <w:tcPr/>
          <w:p>
            <w:pPr>
              <w:pStyle w:val="Compact"/>
            </w:pPr>
            <w:r>
              <w:t xml:space="preserve">Direction</w:t>
            </w:r>
          </w:p>
        </w:tc>
        <w:tc>
          <w:tcPr/>
          <w:p>
            <w:pPr>
              <w:pStyle w:val="Compact"/>
            </w:pPr>
            <w:r>
              <w:t xml:space="preserve">Description</w:t>
            </w:r>
          </w:p>
        </w:tc>
      </w:tr>
      <w:tr>
        <w:tc>
          <w:tcPr/>
          <w:p>
            <w:pPr>
              <w:pStyle w:val="Compact"/>
            </w:pPr>
            <w:r>
              <w:rPr>
                <w:rStyle w:val="VerbatimChar"/>
              </w:rPr>
              <w:t xml:space="preserve">IPv6</w:t>
            </w:r>
          </w:p>
        </w:tc>
        <w:tc>
          <w:tcPr/>
          <w:p>
            <w:pPr>
              <w:pStyle w:val="Compact"/>
            </w:pPr>
            <w:r>
              <w:t xml:space="preserve">http_ip_version_clean.csv</w:t>
            </w:r>
          </w:p>
        </w:tc>
        <w:tc>
          <w:tcPr/>
          <w:p>
            <w:pPr>
              <w:pStyle w:val="Compact"/>
            </w:pPr>
            <w:r>
              <w:t xml:space="preserve">%</w:t>
            </w:r>
          </w:p>
        </w:tc>
        <w:tc>
          <w:tcPr/>
          <w:p>
            <w:pPr>
              <w:pStyle w:val="Compact"/>
            </w:pPr>
            <w:r>
              <w:t xml:space="preserve">Positive</w:t>
            </w:r>
          </w:p>
        </w:tc>
        <w:tc>
          <w:tcPr/>
          <w:p>
            <w:pPr>
              <w:pStyle w:val="Compact"/>
            </w:pPr>
            <w:r>
              <w:t xml:space="preserve">Part de trafic HTTP en IPv6</w:t>
            </w:r>
          </w:p>
        </w:tc>
      </w:tr>
      <w:tr>
        <w:tc>
          <w:tcPr/>
          <w:p>
            <w:pPr>
              <w:pStyle w:val="Compact"/>
            </w:pPr>
            <w:r>
              <w:rPr>
                <w:rStyle w:val="VerbatimChar"/>
              </w:rPr>
              <w:t xml:space="preserve">HTTP/3</w:t>
            </w:r>
          </w:p>
        </w:tc>
        <w:tc>
          <w:tcPr/>
          <w:p>
            <w:pPr>
              <w:pStyle w:val="Compact"/>
            </w:pPr>
            <w:r>
              <w:t xml:space="preserve">http_http_version_clean.csv</w:t>
            </w:r>
          </w:p>
        </w:tc>
        <w:tc>
          <w:tcPr/>
          <w:p>
            <w:pPr>
              <w:pStyle w:val="Compact"/>
            </w:pPr>
            <w:r>
              <w:t xml:space="preserve">%</w:t>
            </w:r>
          </w:p>
        </w:tc>
        <w:tc>
          <w:tcPr/>
          <w:p>
            <w:pPr>
              <w:pStyle w:val="Compact"/>
            </w:pPr>
            <w:r>
              <w:t xml:space="preserve">Positive</w:t>
            </w:r>
          </w:p>
        </w:tc>
        <w:tc>
          <w:tcPr/>
          <w:p>
            <w:pPr>
              <w:pStyle w:val="Compact"/>
            </w:pPr>
            <w:r>
              <w:t xml:space="preserve">Part de trafic HTTP en version 3 (QUIC)</w:t>
            </w:r>
          </w:p>
        </w:tc>
      </w:tr>
      <w:tr>
        <w:tc>
          <w:tcPr/>
          <w:p>
            <w:pPr>
              <w:pStyle w:val="Compact"/>
            </w:pPr>
            <w:r>
              <w:rPr>
                <w:rStyle w:val="VerbatimChar"/>
              </w:rPr>
              <w:t xml:space="preserve">TLS 1.3</w:t>
            </w:r>
          </w:p>
        </w:tc>
        <w:tc>
          <w:tcPr/>
          <w:p>
            <w:pPr>
              <w:pStyle w:val="Compact"/>
            </w:pPr>
            <w:r>
              <w:t xml:space="preserve">http_tls_version_clean.csv</w:t>
            </w:r>
          </w:p>
        </w:tc>
        <w:tc>
          <w:tcPr/>
          <w:p>
            <w:pPr>
              <w:pStyle w:val="Compact"/>
            </w:pPr>
            <w:r>
              <w:t xml:space="preserve">%</w:t>
            </w:r>
          </w:p>
        </w:tc>
        <w:tc>
          <w:tcPr/>
          <w:p>
            <w:pPr>
              <w:pStyle w:val="Compact"/>
            </w:pPr>
            <w:r>
              <w:t xml:space="preserve">Positive</w:t>
            </w:r>
          </w:p>
        </w:tc>
        <w:tc>
          <w:tcPr/>
          <w:p>
            <w:pPr>
              <w:pStyle w:val="Compact"/>
            </w:pPr>
            <w:r>
              <w:t xml:space="preserve">Part de trafic HTTPS en TLS 1.3</w:t>
            </w:r>
          </w:p>
        </w:tc>
      </w:tr>
      <w:tr>
        <w:tc>
          <w:tcPr/>
          <w:p>
            <w:pPr>
              <w:pStyle w:val="Compact"/>
            </w:pPr>
            <w:r>
              <w:rPr>
                <w:rStyle w:val="VerbatimChar"/>
              </w:rPr>
              <w:t xml:space="preserve">TLS QUIC</w:t>
            </w:r>
          </w:p>
        </w:tc>
        <w:tc>
          <w:tcPr/>
          <w:p>
            <w:pPr>
              <w:pStyle w:val="Compact"/>
            </w:pPr>
            <w:r>
              <w:t xml:space="preserve">http_tls_version_clean.csv</w:t>
            </w:r>
          </w:p>
        </w:tc>
        <w:tc>
          <w:tcPr/>
          <w:p>
            <w:pPr>
              <w:pStyle w:val="Compact"/>
            </w:pPr>
            <w:r>
              <w:t xml:space="preserve">%</w:t>
            </w:r>
          </w:p>
        </w:tc>
        <w:tc>
          <w:tcPr/>
          <w:p>
            <w:pPr>
              <w:pStyle w:val="Compact"/>
            </w:pPr>
            <w:r>
              <w:t xml:space="preserve">Positive</w:t>
            </w:r>
          </w:p>
        </w:tc>
        <w:tc>
          <w:tcPr/>
          <w:p>
            <w:pPr>
              <w:pStyle w:val="Compact"/>
            </w:pPr>
            <w:r>
              <w:t xml:space="preserve">Part de trafic QUIC (proxy TLS 1.3 sur UDP)</w:t>
            </w:r>
          </w:p>
        </w:tc>
      </w:tr>
      <w:tr>
        <w:tc>
          <w:tcPr/>
          <w:p>
            <w:pPr>
              <w:pStyle w:val="Compact"/>
            </w:pPr>
            <w:r>
              <w:rPr>
                <w:rStyle w:val="VerbatimChar"/>
              </w:rPr>
              <w:t xml:space="preserve">No Bot</w:t>
            </w:r>
          </w:p>
        </w:tc>
        <w:tc>
          <w:tcPr/>
          <w:p>
            <w:pPr>
              <w:pStyle w:val="Compact"/>
            </w:pPr>
            <w:r>
              <w:t xml:space="preserve">http_bot_class_clean.csv</w:t>
            </w:r>
          </w:p>
        </w:tc>
        <w:tc>
          <w:tcPr/>
          <w:p>
            <w:pPr>
              <w:pStyle w:val="Compact"/>
            </w:pPr>
            <w:r>
              <w:t xml:space="preserve">%</w:t>
            </w:r>
          </w:p>
        </w:tc>
        <w:tc>
          <w:tcPr/>
          <w:p>
            <w:pPr>
              <w:pStyle w:val="Compact"/>
            </w:pPr>
            <w:r>
              <w:t xml:space="preserve">Positive</w:t>
            </w:r>
          </w:p>
        </w:tc>
        <w:tc>
          <w:tcPr/>
          <w:p>
            <w:pPr>
              <w:pStyle w:val="Compact"/>
            </w:pPr>
            <w:r>
              <w:t xml:space="preserve">Part de trafic non-bot (= 100 − bot%)</w:t>
            </w:r>
          </w:p>
        </w:tc>
      </w:tr>
      <w:tr>
        <w:tc>
          <w:tcPr/>
          <w:p>
            <w:pPr>
              <w:pStyle w:val="Compact"/>
            </w:pPr>
            <w:r>
              <w:rPr>
                <w:rStyle w:val="VerbatimChar"/>
              </w:rPr>
              <w:t xml:space="preserve">Mobile</w:t>
            </w:r>
          </w:p>
        </w:tc>
        <w:tc>
          <w:tcPr/>
          <w:p>
            <w:pPr>
              <w:pStyle w:val="Compact"/>
            </w:pPr>
            <w:r>
              <w:t xml:space="preserve">http_device_type_clean.csv</w:t>
            </w:r>
          </w:p>
        </w:tc>
        <w:tc>
          <w:tcPr/>
          <w:p>
            <w:pPr>
              <w:pStyle w:val="Compact"/>
            </w:pPr>
            <w:r>
              <w:t xml:space="preserve">%</w:t>
            </w:r>
          </w:p>
        </w:tc>
        <w:tc>
          <w:tcPr/>
          <w:p>
            <w:pPr>
              <w:pStyle w:val="Compact"/>
            </w:pPr>
            <w:r>
              <w:t xml:space="preserve">Positive</w:t>
            </w:r>
          </w:p>
        </w:tc>
        <w:tc>
          <w:tcPr/>
          <w:p>
            <w:pPr>
              <w:pStyle w:val="Compact"/>
            </w:pPr>
            <w:r>
              <w:t xml:space="preserve">Part du trafic mobile (proxy de modernité stack réseau)</w:t>
            </w:r>
          </w:p>
        </w:tc>
      </w:tr>
    </w:tbl>
    <w:p>
      <w:pPr>
        <w:pStyle w:val="BlockText"/>
      </w:pPr>
      <w:r>
        <w:rPr>
          <w:b/>
          <w:bCs/>
        </w:rPr>
        <w:t xml:space="preserve">Note sur</w:t>
      </w:r>
      <w:r>
        <w:rPr>
          <w:b/>
          <w:bCs/>
        </w:rPr>
        <w:t xml:space="preserve"> </w:t>
      </w:r>
      <w:r>
        <w:rPr>
          <w:rStyle w:val="VerbatimChar"/>
          <w:b/>
          <w:bCs/>
        </w:rPr>
        <w:t xml:space="preserve">Mobile</w:t>
      </w:r>
      <w:r>
        <w:rPr>
          <w:b/>
          <w:bCs/>
        </w:rPr>
        <w:t xml:space="preserve"> </w:t>
      </w:r>
      <w:r>
        <w:rPr>
          <w:b/>
          <w:bCs/>
        </w:rPr>
        <w:t xml:space="preserve">:</w:t>
      </w:r>
      <w:r>
        <w:t xml:space="preserve"> </w:t>
      </w:r>
      <w:r>
        <w:t xml:space="preserve">Le trafic mobile est un proxy de la modernité de la pile réseau adoptée, car les terminaux mobiles récents (Android 12+, iOS 15+) supportent nativement HTTP/3 et TLS 1.3. Cependant, une forte mobilité peut aussi refléter un manque d’infrastructure fixe, créant une ambiguïté de direction. Ce paramètre est conservé avec un poids faible (0.10) pour capturer l’effet sans le sur-pondérer.</w:t>
      </w:r>
    </w:p>
    <w:bookmarkEnd w:id="31"/>
    <w:bookmarkStart w:id="32" w:name="formule-1"/>
    <w:p>
      <w:pPr>
        <w:pStyle w:val="Heading3"/>
      </w:pPr>
      <w:r>
        <w:t xml:space="preserve">3.3 Formule</w:t>
      </w:r>
    </w:p>
    <w:p>
      <w:pPr>
        <w:pStyle w:val="FirstParagraph"/>
      </w:pPr>
      <w:r>
        <w:rPr>
          <w:b/>
          <w:bCs/>
        </w:rPr>
        <w:t xml:space="preserve">Étape 1 — Calcul des moyennes temporelles par pays</w:t>
      </w:r>
    </w:p>
    <w:p>
      <w:pPr>
        <w:pStyle w:val="BodyText"/>
      </w:pPr>
      <w:r>
        <w:t xml:space="preserve">Pour chaque pays et chaque variable, on calcule la moyenne sur l’ensemble des semaines disponibles :</w:t>
      </w:r>
    </w:p>
    <w:p>
      <w:pPr>
        <w:pStyle w:val="SourceCode"/>
      </w:pPr>
      <w:r>
        <w:rPr>
          <w:rStyle w:val="VerbatimChar"/>
        </w:rPr>
        <w:t xml:space="preserve">V_pays = moyenne(V(semaine_1), V(semaine_2), ..., V(semaine_N))   [N ≥ 20]</w:t>
      </w:r>
    </w:p>
    <w:p>
      <w:pPr>
        <w:pStyle w:val="FirstParagraph"/>
      </w:pPr>
      <w:r>
        <w:rPr>
          <w:b/>
          <w:bCs/>
        </w:rPr>
        <w:t xml:space="preserve">Étape 2 — Normalisation min-max par variable</w:t>
      </w:r>
    </w:p>
    <w:p>
      <w:pPr>
        <w:pStyle w:val="BodyText"/>
      </w:pPr>
      <w:r>
        <w:t xml:space="preserve">Pour chaque variable, normalisation sur l’ensemble des pays inclus :</w:t>
      </w:r>
    </w:p>
    <w:p>
      <w:pPr>
        <w:pStyle w:val="SourceCode"/>
      </w:pPr>
      <w:r>
        <w:rPr>
          <w:rStyle w:val="VerbatimChar"/>
        </w:rPr>
        <w:t xml:space="preserve">V_norm(pays) = (V(pays) − V_min) / (V_max − V_min) × 100</w:t>
      </w:r>
    </w:p>
    <w:p>
      <w:pPr>
        <w:pStyle w:val="FirstParagraph"/>
      </w:pPr>
      <w:r>
        <w:t xml:space="preserve">Si V_max = V_min (cas rare de variance nulle), tous les pays reçoivent la valeur neutre 50.</w:t>
      </w:r>
    </w:p>
    <w:p>
      <w:pPr>
        <w:pStyle w:val="BodyText"/>
      </w:pPr>
      <w:r>
        <w:t xml:space="preserve">La variable</w:t>
      </w:r>
      <w:r>
        <w:t xml:space="preserve"> </w:t>
      </w:r>
      <w:r>
        <w:rPr>
          <w:rStyle w:val="VerbatimChar"/>
        </w:rPr>
        <w:t xml:space="preserve">No Bot</w:t>
      </w:r>
      <w:r>
        <w:t xml:space="preserve"> </w:t>
      </w:r>
      <w:r>
        <w:t xml:space="preserve">est calculée avant normalisation :</w:t>
      </w:r>
      <w:r>
        <w:t xml:space="preserve"> </w:t>
      </w:r>
      <w:r>
        <w:rPr>
          <w:rStyle w:val="VerbatimChar"/>
        </w:rPr>
        <w:t xml:space="preserve">No Bot = 100 − Bot%</w:t>
      </w:r>
    </w:p>
    <w:p>
      <w:pPr>
        <w:pStyle w:val="BodyText"/>
      </w:pPr>
      <w:r>
        <w:rPr>
          <w:b/>
          <w:bCs/>
        </w:rPr>
        <w:t xml:space="preserve">Étape 3 — Score pondéré</w:t>
      </w:r>
    </w:p>
    <w:p>
      <w:pPr>
        <w:pStyle w:val="SourceCode"/>
      </w:pPr>
      <w:r>
        <w:rPr>
          <w:rStyle w:val="VerbatimChar"/>
        </w:rPr>
        <w:t xml:space="preserve">IMP(pays) = [Σ (V_norm_i × w_i)] / [Σ w_i disponibles]</w:t>
      </w:r>
    </w:p>
    <w:p>
      <w:pPr>
        <w:pStyle w:val="FirstParagraph"/>
      </w:pPr>
      <w:r>
        <w:t xml:space="preserve">où les poids sont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 normalisée</w:t>
            </w:r>
          </w:p>
        </w:tc>
        <w:tc>
          <w:tcPr/>
          <w:p>
            <w:pPr>
              <w:pStyle w:val="Compact"/>
              <w:jc w:val="right"/>
            </w:pPr>
            <w:r>
              <w:t xml:space="preserve">Poids w</w:t>
            </w:r>
          </w:p>
        </w:tc>
      </w:tr>
      <w:tr>
        <w:tc>
          <w:tcPr/>
          <w:p>
            <w:pPr>
              <w:pStyle w:val="Compact"/>
            </w:pPr>
            <w:r>
              <w:t xml:space="preserve">IPv6_norm</w:t>
            </w:r>
          </w:p>
        </w:tc>
        <w:tc>
          <w:tcPr/>
          <w:p>
            <w:pPr>
              <w:pStyle w:val="Compact"/>
              <w:jc w:val="right"/>
            </w:pPr>
            <w:r>
              <w:t xml:space="preserve">0.25</w:t>
            </w:r>
          </w:p>
        </w:tc>
      </w:tr>
      <w:tr>
        <w:tc>
          <w:tcPr/>
          <w:p>
            <w:pPr>
              <w:pStyle w:val="Compact"/>
            </w:pPr>
            <w:r>
              <w:t xml:space="preserve">HTTP3_norm</w:t>
            </w:r>
          </w:p>
        </w:tc>
        <w:tc>
          <w:tcPr/>
          <w:p>
            <w:pPr>
              <w:pStyle w:val="Compact"/>
              <w:jc w:val="right"/>
            </w:pPr>
            <w:r>
              <w:t xml:space="preserve">0.25</w:t>
            </w:r>
          </w:p>
        </w:tc>
      </w:tr>
      <w:tr>
        <w:tc>
          <w:tcPr/>
          <w:p>
            <w:pPr>
              <w:pStyle w:val="Compact"/>
            </w:pPr>
            <w:r>
              <w:t xml:space="preserve">TLS13_norm</w:t>
            </w:r>
          </w:p>
        </w:tc>
        <w:tc>
          <w:tcPr/>
          <w:p>
            <w:pPr>
              <w:pStyle w:val="Compact"/>
              <w:jc w:val="right"/>
            </w:pPr>
            <w:r>
              <w:t xml:space="preserve">0.20</w:t>
            </w:r>
          </w:p>
        </w:tc>
      </w:tr>
      <w:tr>
        <w:tc>
          <w:tcPr/>
          <w:p>
            <w:pPr>
              <w:pStyle w:val="Compact"/>
            </w:pPr>
            <w:r>
              <w:t xml:space="preserve">TLSQUIC_norm</w:t>
            </w:r>
          </w:p>
        </w:tc>
        <w:tc>
          <w:tcPr/>
          <w:p>
            <w:pPr>
              <w:pStyle w:val="Compact"/>
              <w:jc w:val="right"/>
            </w:pPr>
            <w:r>
              <w:t xml:space="preserve">0.10</w:t>
            </w:r>
          </w:p>
        </w:tc>
      </w:tr>
      <w:tr>
        <w:tc>
          <w:tcPr/>
          <w:p>
            <w:pPr>
              <w:pStyle w:val="Compact"/>
            </w:pPr>
            <w:r>
              <w:t xml:space="preserve">NoBot_norm</w:t>
            </w:r>
          </w:p>
        </w:tc>
        <w:tc>
          <w:tcPr/>
          <w:p>
            <w:pPr>
              <w:pStyle w:val="Compact"/>
              <w:jc w:val="right"/>
            </w:pPr>
            <w:r>
              <w:t xml:space="preserve">0.10</w:t>
            </w:r>
          </w:p>
        </w:tc>
      </w:tr>
      <w:tr>
        <w:tc>
          <w:tcPr/>
          <w:p>
            <w:pPr>
              <w:pStyle w:val="Compact"/>
            </w:pPr>
            <w:r>
              <w:t xml:space="preserve">Mobile_norm</w:t>
            </w:r>
          </w:p>
        </w:tc>
        <w:tc>
          <w:tcPr/>
          <w:p>
            <w:pPr>
              <w:pStyle w:val="Compact"/>
              <w:jc w:val="right"/>
            </w:pPr>
            <w:r>
              <w:t xml:space="preserve">0.10</w:t>
            </w:r>
          </w:p>
        </w:tc>
      </w:tr>
      <w:tr>
        <w:tc>
          <w:tcPr/>
          <w:p>
            <w:pPr>
              <w:pStyle w:val="Compact"/>
            </w:pPr>
            <w:r>
              <w:rPr>
                <w:b/>
                <w:bCs/>
              </w:rPr>
              <w:t xml:space="preserve">Total</w:t>
            </w:r>
          </w:p>
        </w:tc>
        <w:tc>
          <w:tcPr/>
          <w:p>
            <w:pPr>
              <w:pStyle w:val="Compact"/>
              <w:jc w:val="right"/>
            </w:pPr>
            <w:r>
              <w:rPr>
                <w:b/>
                <w:bCs/>
              </w:rPr>
              <w:t xml:space="preserve">1.00</w:t>
            </w:r>
          </w:p>
        </w:tc>
      </w:tr>
    </w:tbl>
    <w:p>
      <w:pPr>
        <w:pStyle w:val="BodyText"/>
      </w:pPr>
      <w:r>
        <w:t xml:space="preserve">Le calcul est effectué si et seulement si Σ w_i disponibles ≥ 0.50 (au moins 50% de la pondération totale est couverte par des données disponibles).</w:t>
      </w:r>
    </w:p>
    <w:bookmarkEnd w:id="32"/>
    <w:bookmarkStart w:id="33" w:name="justification-des-pondérations-1"/>
    <w:p>
      <w:pPr>
        <w:pStyle w:val="Heading3"/>
      </w:pPr>
      <w:r>
        <w:t xml:space="preserve">3.4 Justification des Pondérations</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Poids</w:t>
            </w:r>
          </w:p>
        </w:tc>
        <w:tc>
          <w:tcPr/>
          <w:p>
            <w:pPr>
              <w:pStyle w:val="Compact"/>
            </w:pPr>
            <w:r>
              <w:t xml:space="preserve">Composante</w:t>
            </w:r>
          </w:p>
        </w:tc>
        <w:tc>
          <w:tcPr/>
          <w:p>
            <w:pPr>
              <w:pStyle w:val="Compact"/>
            </w:pPr>
            <w:r>
              <w:t xml:space="preserve">Justification</w:t>
            </w:r>
          </w:p>
        </w:tc>
      </w:tr>
      <w:tr>
        <w:tc>
          <w:tcPr/>
          <w:p>
            <w:pPr>
              <w:pStyle w:val="Compact"/>
              <w:jc w:val="right"/>
            </w:pPr>
            <w:r>
              <w:t xml:space="preserve">0.25</w:t>
            </w:r>
          </w:p>
        </w:tc>
        <w:tc>
          <w:tcPr/>
          <w:p>
            <w:pPr>
              <w:pStyle w:val="Compact"/>
            </w:pPr>
            <w:r>
              <w:t xml:space="preserve">IPv6</w:t>
            </w:r>
          </w:p>
        </w:tc>
        <w:tc>
          <w:tcPr/>
          <w:p>
            <w:pPr>
              <w:pStyle w:val="Compact"/>
            </w:pPr>
            <w:r>
              <w:t xml:space="preserve">Indicateur de maturité infrastructure le plus fondamental. L’absence d’IPv6 bloque la transition vers les protocoles modernes (QUIC nécessite UDP, lequel bénéficie du meilleur routage en IPv6).</w:t>
            </w:r>
          </w:p>
        </w:tc>
      </w:tr>
      <w:tr>
        <w:tc>
          <w:tcPr/>
          <w:p>
            <w:pPr>
              <w:pStyle w:val="Compact"/>
              <w:jc w:val="right"/>
            </w:pPr>
            <w:r>
              <w:t xml:space="preserve">0.25</w:t>
            </w:r>
          </w:p>
        </w:tc>
        <w:tc>
          <w:tcPr/>
          <w:p>
            <w:pPr>
              <w:pStyle w:val="Compact"/>
            </w:pPr>
            <w:r>
              <w:t xml:space="preserve">HTTP/3</w:t>
            </w:r>
          </w:p>
        </w:tc>
        <w:tc>
          <w:tcPr/>
          <w:p>
            <w:pPr>
              <w:pStyle w:val="Compact"/>
            </w:pPr>
            <w:r>
              <w:t xml:space="preserve">HTTP/3 (QUIC) est la technologie de rupture la plus récente — son adoption traduit une modernisation active de la pile réseau et du parc de terminaux.</w:t>
            </w:r>
          </w:p>
        </w:tc>
      </w:tr>
      <w:tr>
        <w:tc>
          <w:tcPr/>
          <w:p>
            <w:pPr>
              <w:pStyle w:val="Compact"/>
              <w:jc w:val="right"/>
            </w:pPr>
            <w:r>
              <w:t xml:space="preserve">0.20</w:t>
            </w:r>
          </w:p>
        </w:tc>
        <w:tc>
          <w:tcPr/>
          <w:p>
            <w:pPr>
              <w:pStyle w:val="Compact"/>
            </w:pPr>
            <w:r>
              <w:t xml:space="preserve">TLS 1.3</w:t>
            </w:r>
          </w:p>
        </w:tc>
        <w:tc>
          <w:tcPr/>
          <w:p>
            <w:pPr>
              <w:pStyle w:val="Compact"/>
            </w:pPr>
            <w:r>
              <w:t xml:space="preserve">TLS 1.3 élimine les suites cryptographiques faibles (RC4, DES, SHA1), réduit la latence (0-RTT) et renforce la confidentialité (forward secrecy systématique).</w:t>
            </w:r>
          </w:p>
        </w:tc>
      </w:tr>
      <w:tr>
        <w:tc>
          <w:tcPr/>
          <w:p>
            <w:pPr>
              <w:pStyle w:val="Compact"/>
              <w:jc w:val="right"/>
            </w:pPr>
            <w:r>
              <w:t xml:space="preserve">0.10</w:t>
            </w:r>
          </w:p>
        </w:tc>
        <w:tc>
          <w:tcPr/>
          <w:p>
            <w:pPr>
              <w:pStyle w:val="Compact"/>
            </w:pPr>
            <w:r>
              <w:t xml:space="preserve">TLS QUIC</w:t>
            </w:r>
          </w:p>
        </w:tc>
        <w:tc>
          <w:tcPr/>
          <w:p>
            <w:pPr>
              <w:pStyle w:val="Compact"/>
            </w:pPr>
            <w:r>
              <w:t xml:space="preserve">Proxy complémentaire de TLS 1.3 sur UDP, capturant l’adoption de QUIC sans double-pondérer HTTP/3.</w:t>
            </w:r>
          </w:p>
        </w:tc>
      </w:tr>
      <w:tr>
        <w:tc>
          <w:tcPr/>
          <w:p>
            <w:pPr>
              <w:pStyle w:val="Compact"/>
              <w:jc w:val="right"/>
            </w:pPr>
            <w:r>
              <w:t xml:space="preserve">0.10</w:t>
            </w:r>
          </w:p>
        </w:tc>
        <w:tc>
          <w:tcPr/>
          <w:p>
            <w:pPr>
              <w:pStyle w:val="Compact"/>
            </w:pPr>
            <w:r>
              <w:t xml:space="preserve">No Bot</w:t>
            </w:r>
          </w:p>
        </w:tc>
        <w:tc>
          <w:tcPr/>
          <w:p>
            <w:pPr>
              <w:pStyle w:val="Compact"/>
            </w:pPr>
            <w:r>
              <w:t xml:space="preserve">Un trafic bot élevé indique une infrastructure compromise ou mal filtrée, reflétant une immaturité de la gouvernance réseau.</w:t>
            </w:r>
          </w:p>
        </w:tc>
      </w:tr>
      <w:tr>
        <w:tc>
          <w:tcPr/>
          <w:p>
            <w:pPr>
              <w:pStyle w:val="Compact"/>
              <w:jc w:val="right"/>
            </w:pPr>
            <w:r>
              <w:t xml:space="preserve">0.10</w:t>
            </w:r>
          </w:p>
        </w:tc>
        <w:tc>
          <w:tcPr/>
          <w:p>
            <w:pPr>
              <w:pStyle w:val="Compact"/>
            </w:pPr>
            <w:r>
              <w:t xml:space="preserve">Mobile</w:t>
            </w:r>
          </w:p>
        </w:tc>
        <w:tc>
          <w:tcPr/>
          <w:p>
            <w:pPr>
              <w:pStyle w:val="Compact"/>
            </w:pPr>
            <w:r>
              <w:t xml:space="preserve">Proxy de la modernité du parc terminal, avec ambiguïté directionnelle (cf. section 3.2 — poids intentionnellement faible).</w:t>
            </w:r>
          </w:p>
        </w:tc>
      </w:tr>
    </w:tbl>
    <w:bookmarkEnd w:id="33"/>
    <w:bookmarkStart w:id="34" w:name="plage-et-interprétation"/>
    <w:p>
      <w:pPr>
        <w:pStyle w:val="Heading3"/>
      </w:pPr>
      <w:r>
        <w:t xml:space="preserve">3.5 Plage et Interprétation</w:t>
      </w:r>
    </w:p>
    <w:p>
      <w:pPr>
        <w:pStyle w:val="FirstParagraph"/>
      </w:pPr>
      <w:r>
        <w:t xml:space="preserve">L’IMP est exprimé sur [0, 100] par construction de la normalisation min-max. Sa valeur est</w:t>
      </w:r>
      <w:r>
        <w:t xml:space="preserve"> </w:t>
      </w:r>
      <w:r>
        <w:rPr>
          <w:b/>
          <w:bCs/>
        </w:rPr>
        <w:t xml:space="preserve">relative à l’ensemble des pays de l’échantillon</w:t>
      </w:r>
      <w:r>
        <w:t xml:space="preserve"> </w:t>
      </w:r>
      <w:r>
        <w:t xml:space="preserve">: un IMP de 60 signifie que le pays est bien au-dessus de la médiane mondiale, non qu’il a adopté 60% de chaque protocole.</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Quintile IMP</w:t>
            </w:r>
          </w:p>
        </w:tc>
        <w:tc>
          <w:tcPr/>
          <w:p>
            <w:pPr>
              <w:pStyle w:val="Compact"/>
              <w:jc w:val="right"/>
            </w:pPr>
            <w:r>
              <w:t xml:space="preserve">Seuil</w:t>
            </w:r>
          </w:p>
        </w:tc>
        <w:tc>
          <w:tcPr/>
          <w:p>
            <w:pPr>
              <w:pStyle w:val="Compact"/>
              <w:jc w:val="right"/>
            </w:pPr>
            <w:r>
              <w:t xml:space="preserve">Nb pays</w:t>
            </w:r>
          </w:p>
        </w:tc>
        <w:tc>
          <w:tcPr/>
          <w:p>
            <w:pPr>
              <w:pStyle w:val="Compact"/>
            </w:pPr>
            <w:r>
              <w:t xml:space="preserve">Caractéristique</w:t>
            </w:r>
          </w:p>
        </w:tc>
      </w:tr>
      <w:tr>
        <w:tc>
          <w:tcPr/>
          <w:p>
            <w:pPr>
              <w:pStyle w:val="Compact"/>
            </w:pPr>
            <w:r>
              <w:t xml:space="preserve">Q5 — Très mature</w:t>
            </w:r>
          </w:p>
        </w:tc>
        <w:tc>
          <w:tcPr/>
          <w:p>
            <w:pPr>
              <w:pStyle w:val="Compact"/>
              <w:jc w:val="right"/>
            </w:pPr>
            <w:r>
              <w:t xml:space="preserve">&gt; 52</w:t>
            </w:r>
          </w:p>
        </w:tc>
        <w:tc>
          <w:tcPr/>
          <w:p>
            <w:pPr>
              <w:pStyle w:val="Compact"/>
              <w:jc w:val="right"/>
            </w:pPr>
            <w:r>
              <w:t xml:space="preserve">~49 pays</w:t>
            </w:r>
          </w:p>
        </w:tc>
        <w:tc>
          <w:tcPr/>
          <w:p>
            <w:pPr>
              <w:pStyle w:val="Compact"/>
            </w:pPr>
            <w:r>
              <w:t xml:space="preserve">Adoption IPv6 &gt;30%, HTTP/3 &gt;30%, TLS1.3 &gt;85%</w:t>
            </w:r>
          </w:p>
        </w:tc>
      </w:tr>
      <w:tr>
        <w:tc>
          <w:tcPr/>
          <w:p>
            <w:pPr>
              <w:pStyle w:val="Compact"/>
            </w:pPr>
            <w:r>
              <w:t xml:space="preserve">Q4 — Mature</w:t>
            </w:r>
          </w:p>
        </w:tc>
        <w:tc>
          <w:tcPr/>
          <w:p>
            <w:pPr>
              <w:pStyle w:val="Compact"/>
              <w:jc w:val="right"/>
            </w:pPr>
            <w:r>
              <w:t xml:space="preserve">47 – 52</w:t>
            </w:r>
          </w:p>
        </w:tc>
        <w:tc>
          <w:tcPr/>
          <w:p>
            <w:pPr>
              <w:pStyle w:val="Compact"/>
              <w:jc w:val="right"/>
            </w:pPr>
            <w:r>
              <w:t xml:space="preserve">~49 pays</w:t>
            </w:r>
          </w:p>
        </w:tc>
        <w:tc>
          <w:tcPr/>
          <w:p>
            <w:pPr>
              <w:pStyle w:val="Compact"/>
            </w:pPr>
            <w:r>
              <w:t xml:space="preserve">Adoption équilibrée, quelques lacunes IPv6</w:t>
            </w:r>
          </w:p>
        </w:tc>
      </w:tr>
      <w:tr>
        <w:tc>
          <w:tcPr/>
          <w:p>
            <w:pPr>
              <w:pStyle w:val="Compact"/>
            </w:pPr>
            <w:r>
              <w:t xml:space="preserve">Q3 — Intermédiaire</w:t>
            </w:r>
          </w:p>
        </w:tc>
        <w:tc>
          <w:tcPr/>
          <w:p>
            <w:pPr>
              <w:pStyle w:val="Compact"/>
              <w:jc w:val="right"/>
            </w:pPr>
            <w:r>
              <w:t xml:space="preserve">43 – 47</w:t>
            </w:r>
          </w:p>
        </w:tc>
        <w:tc>
          <w:tcPr/>
          <w:p>
            <w:pPr>
              <w:pStyle w:val="Compact"/>
              <w:jc w:val="right"/>
            </w:pPr>
            <w:r>
              <w:t xml:space="preserve">~50 pays</w:t>
            </w:r>
          </w:p>
        </w:tc>
        <w:tc>
          <w:tcPr/>
          <w:p>
            <w:pPr>
              <w:pStyle w:val="Compact"/>
            </w:pPr>
            <w:r>
              <w:t xml:space="preserve">IPv6 &lt;20%, transition en cours</w:t>
            </w:r>
          </w:p>
        </w:tc>
      </w:tr>
      <w:tr>
        <w:tc>
          <w:tcPr/>
          <w:p>
            <w:pPr>
              <w:pStyle w:val="Compact"/>
            </w:pPr>
            <w:r>
              <w:t xml:space="preserve">Q2 — En retard</w:t>
            </w:r>
          </w:p>
        </w:tc>
        <w:tc>
          <w:tcPr/>
          <w:p>
            <w:pPr>
              <w:pStyle w:val="Compact"/>
              <w:jc w:val="right"/>
            </w:pPr>
            <w:r>
              <w:t xml:space="preserve">39 – 43</w:t>
            </w:r>
          </w:p>
        </w:tc>
        <w:tc>
          <w:tcPr/>
          <w:p>
            <w:pPr>
              <w:pStyle w:val="Compact"/>
              <w:jc w:val="right"/>
            </w:pPr>
            <w:r>
              <w:t xml:space="preserve">~49 pays</w:t>
            </w:r>
          </w:p>
        </w:tc>
        <w:tc>
          <w:tcPr/>
          <w:p>
            <w:pPr>
              <w:pStyle w:val="Compact"/>
            </w:pPr>
            <w:r>
              <w:t xml:space="preserve">IPv6 &lt;10%, HTTP/3 &lt;15%, TLS obsolètes présents</w:t>
            </w:r>
          </w:p>
        </w:tc>
      </w:tr>
      <w:tr>
        <w:tc>
          <w:tcPr/>
          <w:p>
            <w:pPr>
              <w:pStyle w:val="Compact"/>
            </w:pPr>
            <w:r>
              <w:t xml:space="preserve">Q1 — Très en retard</w:t>
            </w:r>
          </w:p>
        </w:tc>
        <w:tc>
          <w:tcPr/>
          <w:p>
            <w:pPr>
              <w:pStyle w:val="Compact"/>
              <w:jc w:val="right"/>
            </w:pPr>
            <w:r>
              <w:t xml:space="preserve">&lt; 39</w:t>
            </w:r>
          </w:p>
        </w:tc>
        <w:tc>
          <w:tcPr/>
          <w:p>
            <w:pPr>
              <w:pStyle w:val="Compact"/>
              <w:jc w:val="right"/>
            </w:pPr>
            <w:r>
              <w:t xml:space="preserve">~50 pays</w:t>
            </w:r>
          </w:p>
        </w:tc>
        <w:tc>
          <w:tcPr/>
          <w:p>
            <w:pPr>
              <w:pStyle w:val="Compact"/>
            </w:pPr>
            <w:r>
              <w:t xml:space="preserve">Adoption &lt;5% pour plusieurs protocoles modernes</w:t>
            </w:r>
          </w:p>
        </w:tc>
      </w:tr>
    </w:tbl>
    <w:p>
      <w:pPr>
        <w:pStyle w:val="BodyText"/>
      </w:pPr>
      <w:r>
        <w:rPr>
          <w:b/>
          <w:bCs/>
        </w:rPr>
        <w:t xml:space="preserve">Valeurs extrêmes observées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Statistique</w:t>
            </w:r>
          </w:p>
        </w:tc>
        <w:tc>
          <w:tcPr/>
          <w:p>
            <w:pPr>
              <w:pStyle w:val="Compact"/>
            </w:pPr>
            <w:r>
              <w:t xml:space="preserve">Pays</w:t>
            </w:r>
          </w:p>
        </w:tc>
        <w:tc>
          <w:tcPr/>
          <w:p>
            <w:pPr>
              <w:pStyle w:val="Compact"/>
              <w:jc w:val="right"/>
            </w:pPr>
            <w:r>
              <w:t xml:space="preserve">IMP</w:t>
            </w:r>
          </w:p>
        </w:tc>
      </w:tr>
      <w:tr>
        <w:tc>
          <w:tcPr/>
          <w:p>
            <w:pPr>
              <w:pStyle w:val="Compact"/>
            </w:pPr>
            <w:r>
              <w:t xml:space="preserve">Maximum absolu</w:t>
            </w:r>
          </w:p>
        </w:tc>
        <w:tc>
          <w:tcPr/>
          <w:p>
            <w:pPr>
              <w:pStyle w:val="Compact"/>
            </w:pPr>
            <w:r>
              <w:t xml:space="preserve">Sri Lanka (LK)</w:t>
            </w:r>
          </w:p>
        </w:tc>
        <w:tc>
          <w:tcPr/>
          <w:p>
            <w:pPr>
              <w:pStyle w:val="Compact"/>
              <w:jc w:val="right"/>
            </w:pPr>
            <w:r>
              <w:t xml:space="preserve">64.9 / 100</w:t>
            </w:r>
          </w:p>
        </w:tc>
      </w:tr>
      <w:tr>
        <w:tc>
          <w:tcPr/>
          <w:p>
            <w:pPr>
              <w:pStyle w:val="Compact"/>
            </w:pPr>
            <w:r>
              <w:t xml:space="preserve">2e rang</w:t>
            </w:r>
          </w:p>
        </w:tc>
        <w:tc>
          <w:tcPr/>
          <w:p>
            <w:pPr>
              <w:pStyle w:val="Compact"/>
            </w:pPr>
            <w:r>
              <w:t xml:space="preserve">Grèce (GR)</w:t>
            </w:r>
          </w:p>
        </w:tc>
        <w:tc>
          <w:tcPr/>
          <w:p>
            <w:pPr>
              <w:pStyle w:val="Compact"/>
              <w:jc w:val="right"/>
            </w:pPr>
            <w:r>
              <w:t xml:space="preserve">64.5 / 100</w:t>
            </w:r>
          </w:p>
        </w:tc>
      </w:tr>
      <w:tr>
        <w:tc>
          <w:tcPr/>
          <w:p>
            <w:pPr>
              <w:pStyle w:val="Compact"/>
            </w:pPr>
            <w:r>
              <w:t xml:space="preserve">3e rang (grand pays)</w:t>
            </w:r>
          </w:p>
        </w:tc>
        <w:tc>
          <w:tcPr/>
          <w:p>
            <w:pPr>
              <w:pStyle w:val="Compact"/>
            </w:pPr>
            <w:r>
              <w:t xml:space="preserve">Inde (IN)</w:t>
            </w:r>
          </w:p>
        </w:tc>
        <w:tc>
          <w:tcPr/>
          <w:p>
            <w:pPr>
              <w:pStyle w:val="Compact"/>
              <w:jc w:val="right"/>
            </w:pPr>
            <w:r>
              <w:t xml:space="preserve">64.3 / 100</w:t>
            </w:r>
          </w:p>
        </w:tc>
      </w:tr>
      <w:tr>
        <w:tc>
          <w:tcPr/>
          <w:p>
            <w:pPr>
              <w:pStyle w:val="Compact"/>
            </w:pPr>
            <w:r>
              <w:t xml:space="preserve">Minimum</w:t>
            </w:r>
          </w:p>
        </w:tc>
        <w:tc>
          <w:tcPr/>
          <w:p>
            <w:pPr>
              <w:pStyle w:val="Compact"/>
            </w:pPr>
            <w:r>
              <w:t xml:space="preserve">(pays Cluster 3)</w:t>
            </w:r>
          </w:p>
        </w:tc>
        <w:tc>
          <w:tcPr/>
          <w:p>
            <w:pPr>
              <w:pStyle w:val="Compact"/>
              <w:jc w:val="right"/>
            </w:pPr>
            <w:r>
              <w:t xml:space="preserve">21.8 / 100</w:t>
            </w:r>
          </w:p>
        </w:tc>
      </w:tr>
      <w:tr>
        <w:tc>
          <w:tcPr/>
          <w:p>
            <w:pPr>
              <w:pStyle w:val="Compact"/>
            </w:pPr>
            <w:r>
              <w:t xml:space="preserve">Moyenne mondiale</w:t>
            </w:r>
          </w:p>
        </w:tc>
        <w:tc>
          <w:tcPr/>
          <w:p>
            <w:pPr>
              <w:pStyle w:val="Compact"/>
            </w:pPr>
            <w:r>
              <w:t xml:space="preserve">—</w:t>
            </w:r>
          </w:p>
        </w:tc>
        <w:tc>
          <w:tcPr/>
          <w:p>
            <w:pPr>
              <w:pStyle w:val="Compact"/>
              <w:jc w:val="right"/>
            </w:pPr>
            <w:r>
              <w:t xml:space="preserve">43.8 / 100</w:t>
            </w:r>
          </w:p>
        </w:tc>
      </w:tr>
      <w:tr>
        <w:tc>
          <w:tcPr/>
          <w:p>
            <w:pPr>
              <w:pStyle w:val="Compact"/>
            </w:pPr>
            <w:r>
              <w:t xml:space="preserve">Médiane</w:t>
            </w:r>
          </w:p>
        </w:tc>
        <w:tc>
          <w:tcPr/>
          <w:p>
            <w:pPr>
              <w:pStyle w:val="Compact"/>
            </w:pPr>
            <w:r>
              <w:t xml:space="preserve">—</w:t>
            </w:r>
          </w:p>
        </w:tc>
        <w:tc>
          <w:tcPr/>
          <w:p>
            <w:pPr>
              <w:pStyle w:val="Compact"/>
              <w:jc w:val="right"/>
            </w:pPr>
            <w:r>
              <w:t xml:space="preserve">44.1 / 100</w:t>
            </w:r>
          </w:p>
        </w:tc>
      </w:tr>
    </w:tbl>
    <w:bookmarkEnd w:id="34"/>
    <w:bookmarkStart w:id="35" w:name="implémentation-python-1"/>
    <w:p>
      <w:pPr>
        <w:pStyle w:val="Heading3"/>
      </w:pPr>
      <w:r>
        <w:t xml:space="preserve">3.6 Implémentation Python</w:t>
      </w:r>
    </w:p>
    <w:p>
      <w:pPr>
        <w:pStyle w:val="FirstParagraph"/>
      </w:pPr>
      <w:r>
        <w:t xml:space="preserve">Le calcul est effectué dans</w:t>
      </w:r>
      <w:r>
        <w:t xml:space="preserve"> </w:t>
      </w:r>
      <w:r>
        <w:rPr>
          <w:rStyle w:val="VerbatimChar"/>
        </w:rPr>
        <w:t xml:space="preserve">phase_D_geographique.py</w:t>
      </w:r>
      <w:r>
        <w:t xml:space="preserve"> </w:t>
      </w:r>
      <w:r>
        <w:t xml:space="preserve">(lignes 176-213) :</w:t>
      </w:r>
    </w:p>
    <w:p>
      <w:pPr>
        <w:pStyle w:val="SourceCode"/>
      </w:pPr>
      <w:r>
        <w:rPr>
          <w:rStyle w:val="CommentTok"/>
        </w:rPr>
        <w:t xml:space="preserve"># Normalisation min-max</w:t>
      </w:r>
      <w:r>
        <w:br/>
      </w:r>
      <w:r>
        <w:rPr>
          <w:rStyle w:val="KeywordTok"/>
        </w:rPr>
        <w:t xml:space="preserve">def</w:t>
      </w:r>
      <w:r>
        <w:rPr>
          <w:rStyle w:val="NormalTok"/>
        </w:rPr>
        <w:t xml:space="preserve"> minmax_norm(series):</w:t>
      </w:r>
      <w:r>
        <w:br/>
      </w:r>
      <w:r>
        <w:rPr>
          <w:rStyle w:val="NormalTok"/>
        </w:rPr>
        <w:t xml:space="preserve">    mn, mx </w:t>
      </w:r>
      <w:r>
        <w:rPr>
          <w:rStyle w:val="OperatorTok"/>
        </w:rPr>
        <w:t xml:space="preserve">=</w:t>
      </w:r>
      <w:r>
        <w:rPr>
          <w:rStyle w:val="NormalTok"/>
        </w:rPr>
        <w:t xml:space="preserve"> series.</w:t>
      </w:r>
      <w:r>
        <w:rPr>
          <w:rStyle w:val="BuiltInTok"/>
        </w:rPr>
        <w:t xml:space="preserve">min</w:t>
      </w:r>
      <w:r>
        <w:rPr>
          <w:rStyle w:val="NormalTok"/>
        </w:rPr>
        <w:t xml:space="preserve">(), series.</w:t>
      </w:r>
      <w:r>
        <w:rPr>
          <w:rStyle w:val="BuiltInTok"/>
        </w:rPr>
        <w:t xml:space="preserve">max</w:t>
      </w:r>
      <w:r>
        <w:rPr>
          <w:rStyle w:val="NormalTok"/>
        </w:rPr>
        <w:t xml:space="preserve">()</w:t>
      </w:r>
      <w:r>
        <w:br/>
      </w:r>
      <w:r>
        <w:rPr>
          <w:rStyle w:val="NormalTok"/>
        </w:rPr>
        <w:t xml:space="preserve">    </w:t>
      </w:r>
      <w:r>
        <w:rPr>
          <w:rStyle w:val="ControlFlowTok"/>
        </w:rPr>
        <w:t xml:space="preserve">if</w:t>
      </w:r>
      <w:r>
        <w:rPr>
          <w:rStyle w:val="NormalTok"/>
        </w:rPr>
        <w:t xml:space="preserve"> mx </w:t>
      </w:r>
      <w:r>
        <w:rPr>
          <w:rStyle w:val="OperatorTok"/>
        </w:rPr>
        <w:t xml:space="preserve">==</w:t>
      </w:r>
      <w:r>
        <w:rPr>
          <w:rStyle w:val="NormalTok"/>
        </w:rPr>
        <w:t xml:space="preserve"> mn:</w:t>
      </w:r>
      <w:r>
        <w:br/>
      </w:r>
      <w:r>
        <w:rPr>
          <w:rStyle w:val="NormalTok"/>
        </w:rPr>
        <w:t xml:space="preserve">        </w:t>
      </w:r>
      <w:r>
        <w:rPr>
          <w:rStyle w:val="ControlFlowTok"/>
        </w:rPr>
        <w:t xml:space="preserve">return</w:t>
      </w:r>
      <w:r>
        <w:rPr>
          <w:rStyle w:val="NormalTok"/>
        </w:rPr>
        <w:t xml:space="preserve"> pd.Series(</w:t>
      </w:r>
      <w:r>
        <w:rPr>
          <w:rStyle w:val="FloatTok"/>
        </w:rPr>
        <w:t xml:space="preserve">50.0</w:t>
      </w:r>
      <w:r>
        <w:rPr>
          <w:rStyle w:val="NormalTok"/>
        </w:rPr>
        <w:t xml:space="preserve">, index</w:t>
      </w:r>
      <w:r>
        <w:rPr>
          <w:rStyle w:val="OperatorTok"/>
        </w:rPr>
        <w:t xml:space="preserve">=</w:t>
      </w:r>
      <w:r>
        <w:rPr>
          <w:rStyle w:val="NormalTok"/>
        </w:rPr>
        <w:t xml:space="preserve">series.index)</w:t>
      </w:r>
      <w:r>
        <w:br/>
      </w:r>
      <w:r>
        <w:rPr>
          <w:rStyle w:val="NormalTok"/>
        </w:rPr>
        <w:t xml:space="preserve">    </w:t>
      </w:r>
      <w:r>
        <w:rPr>
          <w:rStyle w:val="ControlFlowTok"/>
        </w:rPr>
        <w:t xml:space="preserve">return</w:t>
      </w:r>
      <w:r>
        <w:rPr>
          <w:rStyle w:val="NormalTok"/>
        </w:rPr>
        <w:t xml:space="preserve"> (series </w:t>
      </w:r>
      <w:r>
        <w:rPr>
          <w:rStyle w:val="OperatorTok"/>
        </w:rPr>
        <w:t xml:space="preserve">-</w:t>
      </w:r>
      <w:r>
        <w:rPr>
          <w:rStyle w:val="NormalTok"/>
        </w:rPr>
        <w:t xml:space="preserve"> mn) </w:t>
      </w:r>
      <w:r>
        <w:rPr>
          <w:rStyle w:val="OperatorTok"/>
        </w:rPr>
        <w:t xml:space="preserve">/</w:t>
      </w:r>
      <w:r>
        <w:rPr>
          <w:rStyle w:val="NormalTok"/>
        </w:rPr>
        <w:t xml:space="preserve"> (mx </w:t>
      </w:r>
      <w:r>
        <w:rPr>
          <w:rStyle w:val="OperatorTok"/>
        </w:rPr>
        <w:t xml:space="preserve">-</w:t>
      </w:r>
      <w:r>
        <w:rPr>
          <w:rStyle w:val="NormalTok"/>
        </w:rPr>
        <w:t xml:space="preserve"> mn) </w:t>
      </w:r>
      <w:r>
        <w:rPr>
          <w:rStyle w:val="OperatorTok"/>
        </w:rPr>
        <w:t xml:space="preserve">*</w:t>
      </w:r>
      <w:r>
        <w:rPr>
          <w:rStyle w:val="NormalTok"/>
        </w:rPr>
        <w:t xml:space="preserve"> </w:t>
      </w:r>
      <w:r>
        <w:rPr>
          <w:rStyle w:val="DecValTok"/>
        </w:rPr>
        <w:t xml:space="preserve">100</w:t>
      </w:r>
      <w:r>
        <w:br/>
      </w:r>
      <w:r>
        <w:br/>
      </w:r>
      <w:r>
        <w:rPr>
          <w:rStyle w:val="CommentTok"/>
        </w:rPr>
        <w:t xml:space="preserve"># Poids des composantes</w:t>
      </w:r>
      <w:r>
        <w:br/>
      </w:r>
      <w:r>
        <w:rPr>
          <w:rStyle w:val="NormalTok"/>
        </w:rPr>
        <w:t xml:space="preserve">W </w:t>
      </w:r>
      <w:r>
        <w:rPr>
          <w:rStyle w:val="OperatorTok"/>
        </w:rPr>
        <w:t xml:space="preserve">=</w:t>
      </w:r>
      <w:r>
        <w:rPr>
          <w:rStyle w:val="NormalTok"/>
        </w:rPr>
        <w:t xml:space="preserve"> {</w:t>
      </w:r>
      <w:r>
        <w:br/>
      </w:r>
      <w:r>
        <w:rPr>
          <w:rStyle w:val="NormalTok"/>
        </w:rPr>
        <w:t xml:space="preserve">    </w:t>
      </w:r>
      <w:r>
        <w:rPr>
          <w:rStyle w:val="StringTok"/>
        </w:rPr>
        <w:t xml:space="preserve">"ipv6_n"</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StringTok"/>
        </w:rPr>
        <w:t xml:space="preserve">"http3_n"</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StringTok"/>
        </w:rPr>
        <w:t xml:space="preserve">"tls13_n"</w:t>
      </w:r>
      <w:r>
        <w:rPr>
          <w:rStyle w:val="NormalTok"/>
        </w:rPr>
        <w:t xml:space="preserve">:   </w:t>
      </w:r>
      <w:r>
        <w:rPr>
          <w:rStyle w:val="FloatTok"/>
        </w:rPr>
        <w:t xml:space="preserve">0.20</w:t>
      </w:r>
      <w:r>
        <w:rPr>
          <w:rStyle w:val="NormalTok"/>
        </w:rPr>
        <w:t xml:space="preserve">,</w:t>
      </w:r>
      <w:r>
        <w:br/>
      </w:r>
      <w:r>
        <w:rPr>
          <w:rStyle w:val="NormalTok"/>
        </w:rPr>
        <w:t xml:space="preserve">    </w:t>
      </w:r>
      <w:r>
        <w:rPr>
          <w:rStyle w:val="StringTok"/>
        </w:rPr>
        <w:t xml:space="preserve">"tlsquic_n"</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StringTok"/>
        </w:rPr>
        <w:t xml:space="preserve">"no_bot_n"</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StringTok"/>
        </w:rPr>
        <w:t xml:space="preserve">"mobile_n"</w:t>
      </w:r>
      <w:r>
        <w:rPr>
          <w:rStyle w:val="NormalTok"/>
        </w:rPr>
        <w:t xml:space="preserve">:  </w:t>
      </w:r>
      <w:r>
        <w:rPr>
          <w:rStyle w:val="FloatTok"/>
        </w:rPr>
        <w:t xml:space="preserve">0.10</w:t>
      </w:r>
      <w:r>
        <w:br/>
      </w:r>
      <w:r>
        <w:rPr>
          <w:rStyle w:val="NormalTok"/>
        </w:rPr>
        <w:t xml:space="preserve">}</w:t>
      </w:r>
      <w:r>
        <w:br/>
      </w:r>
      <w:r>
        <w:br/>
      </w:r>
      <w:r>
        <w:rPr>
          <w:rStyle w:val="CommentTok"/>
        </w:rPr>
        <w:t xml:space="preserve"># Score pondéré avec gestion des données manquantes</w:t>
      </w:r>
      <w:r>
        <w:br/>
      </w:r>
      <w:r>
        <w:rPr>
          <w:rStyle w:val="KeywordTok"/>
        </w:rPr>
        <w:t xml:space="preserve">def</w:t>
      </w:r>
      <w:r>
        <w:rPr>
          <w:rStyle w:val="NormalTok"/>
        </w:rPr>
        <w:t xml:space="preserve"> imp_score(row):</w:t>
      </w:r>
      <w:r>
        <w:br/>
      </w:r>
      <w:r>
        <w:rPr>
          <w:rStyle w:val="NormalTok"/>
        </w:rPr>
        <w:t xml:space="preserve">    total_w, total_s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col, w </w:t>
      </w:r>
      <w:r>
        <w:rPr>
          <w:rStyle w:val="KeywordTok"/>
        </w:rPr>
        <w:t xml:space="preserve">in</w:t>
      </w:r>
      <w:r>
        <w:rPr>
          <w:rStyle w:val="NormalTok"/>
        </w:rPr>
        <w:t xml:space="preserve"> W.items():</w:t>
      </w:r>
      <w:r>
        <w:br/>
      </w:r>
      <w:r>
        <w:rPr>
          <w:rStyle w:val="NormalTok"/>
        </w:rPr>
        <w:t xml:space="preserve">        v </w:t>
      </w:r>
      <w:r>
        <w:rPr>
          <w:rStyle w:val="OperatorTok"/>
        </w:rPr>
        <w:t xml:space="preserve">=</w:t>
      </w:r>
      <w:r>
        <w:rPr>
          <w:rStyle w:val="NormalTok"/>
        </w:rPr>
        <w:t xml:space="preserve"> row.get(col)</w:t>
      </w:r>
      <w:r>
        <w:br/>
      </w:r>
      <w:r>
        <w:rPr>
          <w:rStyle w:val="NormalTok"/>
        </w:rPr>
        <w:t xml:space="preserve">        </w:t>
      </w:r>
      <w:r>
        <w:rPr>
          <w:rStyle w:val="ControlFlowTok"/>
        </w:rPr>
        <w:t xml:space="preserve">if</w:t>
      </w:r>
      <w:r>
        <w:rPr>
          <w:rStyle w:val="NormalTok"/>
        </w:rPr>
        <w:t xml:space="preserve"> pd.notna(v):</w:t>
      </w:r>
      <w:r>
        <w:br/>
      </w:r>
      <w:r>
        <w:rPr>
          <w:rStyle w:val="NormalTok"/>
        </w:rPr>
        <w:t xml:space="preserve">            total_s </w:t>
      </w:r>
      <w:r>
        <w:rPr>
          <w:rStyle w:val="OperatorTok"/>
        </w:rPr>
        <w:t xml:space="preserve">+=</w:t>
      </w:r>
      <w:r>
        <w:rPr>
          <w:rStyle w:val="NormalTok"/>
        </w:rPr>
        <w:t xml:space="preserve"> v </w:t>
      </w:r>
      <w:r>
        <w:rPr>
          <w:rStyle w:val="OperatorTok"/>
        </w:rPr>
        <w:t xml:space="preserve">*</w:t>
      </w:r>
      <w:r>
        <w:rPr>
          <w:rStyle w:val="NormalTok"/>
        </w:rPr>
        <w:t xml:space="preserve"> w</w:t>
      </w:r>
      <w:r>
        <w:br/>
      </w:r>
      <w:r>
        <w:rPr>
          <w:rStyle w:val="NormalTok"/>
        </w:rPr>
        <w:t xml:space="preserve">            total_w </w:t>
      </w:r>
      <w:r>
        <w:rPr>
          <w:rStyle w:val="OperatorTok"/>
        </w:rPr>
        <w:t xml:space="preserve">+=</w:t>
      </w:r>
      <w:r>
        <w:rPr>
          <w:rStyle w:val="NormalTok"/>
        </w:rPr>
        <w:t xml:space="preserve"> w</w:t>
      </w:r>
      <w:r>
        <w:br/>
      </w:r>
      <w:r>
        <w:rPr>
          <w:rStyle w:val="NormalTok"/>
        </w:rPr>
        <w:t xml:space="preserve">    </w:t>
      </w:r>
      <w:r>
        <w:rPr>
          <w:rStyle w:val="ControlFlowTok"/>
        </w:rPr>
        <w:t xml:space="preserve">return</w:t>
      </w:r>
      <w:r>
        <w:rPr>
          <w:rStyle w:val="NormalTok"/>
        </w:rPr>
        <w:t xml:space="preserve"> total_s </w:t>
      </w:r>
      <w:r>
        <w:rPr>
          <w:rStyle w:val="OperatorTok"/>
        </w:rPr>
        <w:t xml:space="preserve">/</w:t>
      </w:r>
      <w:r>
        <w:rPr>
          <w:rStyle w:val="NormalTok"/>
        </w:rPr>
        <w:t xml:space="preserve"> total_w </w:t>
      </w:r>
      <w:r>
        <w:rPr>
          <w:rStyle w:val="ControlFlowTok"/>
        </w:rPr>
        <w:t xml:space="preserve">if</w:t>
      </w:r>
      <w:r>
        <w:rPr>
          <w:rStyle w:val="NormalTok"/>
        </w:rPr>
        <w:t xml:space="preserve"> total_w </w:t>
      </w:r>
      <w:r>
        <w:rPr>
          <w:rStyle w:val="OperatorTok"/>
        </w:rPr>
        <w:t xml:space="preserve">&gt;=</w:t>
      </w:r>
      <w:r>
        <w:rPr>
          <w:rStyle w:val="NormalTok"/>
        </w:rPr>
        <w:t xml:space="preserve"> </w:t>
      </w:r>
      <w:r>
        <w:rPr>
          <w:rStyle w:val="FloatTok"/>
        </w:rPr>
        <w:t xml:space="preserve">0.5</w:t>
      </w:r>
      <w:r>
        <w:rPr>
          <w:rStyle w:val="NormalTok"/>
        </w:rPr>
        <w:t xml:space="preserve"> </w:t>
      </w:r>
      <w:r>
        <w:rPr>
          <w:rStyle w:val="ControlFlowTok"/>
        </w:rPr>
        <w:t xml:space="preserve">else</w:t>
      </w:r>
      <w:r>
        <w:rPr>
          <w:rStyle w:val="NormalTok"/>
        </w:rPr>
        <w:t xml:space="preserve"> np.nan</w:t>
      </w:r>
      <w:r>
        <w:br/>
      </w:r>
      <w:r>
        <w:br/>
      </w:r>
      <w:r>
        <w:rPr>
          <w:rStyle w:val="NormalTok"/>
        </w:rPr>
        <w:t xml:space="preserve">imp_df[</w:t>
      </w:r>
      <w:r>
        <w:rPr>
          <w:rStyle w:val="StringTok"/>
        </w:rPr>
        <w:t xml:space="preserve">"IMP"</w:t>
      </w:r>
      <w:r>
        <w:rPr>
          <w:rStyle w:val="NormalTok"/>
        </w:rPr>
        <w:t xml:space="preserve">] </w:t>
      </w:r>
      <w:r>
        <w:rPr>
          <w:rStyle w:val="OperatorTok"/>
        </w:rPr>
        <w:t xml:space="preserve">=</w:t>
      </w:r>
      <w:r>
        <w:rPr>
          <w:rStyle w:val="NormalTok"/>
        </w:rPr>
        <w:t xml:space="preserve"> imp_df.</w:t>
      </w:r>
      <w:r>
        <w:rPr>
          <w:rStyle w:val="BuiltInTok"/>
        </w:rPr>
        <w:t xml:space="preserve">apply</w:t>
      </w:r>
      <w:r>
        <w:rPr>
          <w:rStyle w:val="NormalTok"/>
        </w:rPr>
        <w:t xml:space="preserve">(imp_score, axis</w:t>
      </w:r>
      <w:r>
        <w:rPr>
          <w:rStyle w:val="OperatorTok"/>
        </w:rPr>
        <w:t xml:space="preserve">=</w:t>
      </w:r>
      <w:r>
        <w:rPr>
          <w:rStyle w:val="DecValTok"/>
        </w:rPr>
        <w:t xml:space="preserve">1</w:t>
      </w:r>
      <w:r>
        <w:rPr>
          <w:rStyle w:val="NormalTok"/>
        </w:rPr>
        <w:t xml:space="preserve">)</w:t>
      </w:r>
    </w:p>
    <w:bookmarkEnd w:id="35"/>
    <w:bookmarkStart w:id="36" w:name="validité-et-limites-1"/>
    <w:p>
      <w:pPr>
        <w:pStyle w:val="Heading3"/>
      </w:pPr>
      <w:r>
        <w:t xml:space="preserve">3.7 Validité et Limites</w:t>
      </w:r>
    </w:p>
    <w:p>
      <w:pPr>
        <w:pStyle w:val="FirstParagraph"/>
      </w:pPr>
      <w:r>
        <w:rPr>
          <w:b/>
          <w:bCs/>
        </w:rPr>
        <w:t xml:space="preserve">Points forts :</w:t>
      </w:r>
      <w:r>
        <w:t xml:space="preserve"> </w:t>
      </w:r>
      <w:r>
        <w:t xml:space="preserve">- La normalisation min-max permet une comparaison équitable entre pays sans biais de taille ou de population</w:t>
      </w:r>
      <w:r>
        <w:t xml:space="preserve"> </w:t>
      </w:r>
      <w:r>
        <w:t xml:space="preserve">- La tolérance aux données manquantes (Σw ≥ 0.5) évite d’exclure des pays d’Afrique subsaharienne souvent sous-représentés</w:t>
      </w:r>
      <w:r>
        <w:t xml:space="preserve"> </w:t>
      </w:r>
      <w:r>
        <w:t xml:space="preserve">- L’IMP est corrélé positivement avec le PIB par habitant (ρ ≈ 0.6 estimé) mais avec des exceptions notables (paradoxe des pays émergents sur HTTP/3)</w:t>
      </w:r>
    </w:p>
    <w:p>
      <w:pPr>
        <w:pStyle w:val="BodyText"/>
      </w:pPr>
      <w:r>
        <w:rPr>
          <w:b/>
          <w:bCs/>
        </w:rPr>
        <w:t xml:space="preserve">Limites :</w:t>
      </w:r>
      <w:r>
        <w:t xml:space="preserve"> </w:t>
      </w:r>
      <w:r>
        <w:t xml:space="preserve">- La normalisation min-max rend l’IMP</w:t>
      </w:r>
      <w:r>
        <w:t xml:space="preserve"> </w:t>
      </w:r>
      <w:r>
        <w:rPr>
          <w:b/>
          <w:bCs/>
        </w:rPr>
        <w:t xml:space="preserve">non-comparable entre deux datasets différents</w:t>
      </w:r>
      <w:r>
        <w:t xml:space="preserve"> </w:t>
      </w:r>
      <w:r>
        <w:t xml:space="preserve">: un IMP de 50 calculé sur le dataset juin 2025-2026 n’est pas directement comparable à un IMP calculé sur un dataset 2023-2024</w:t>
      </w:r>
      <w:r>
        <w:t xml:space="preserve"> </w:t>
      </w:r>
      <w:r>
        <w:t xml:space="preserve">- Le poids</w:t>
      </w:r>
      <w:r>
        <w:t xml:space="preserve"> </w:t>
      </w:r>
      <w:r>
        <w:rPr>
          <w:rStyle w:val="VerbatimChar"/>
        </w:rPr>
        <w:t xml:space="preserve">Mobile</w:t>
      </w:r>
      <w:r>
        <w:t xml:space="preserve"> </w:t>
      </w:r>
      <w:r>
        <w:t xml:space="preserve">est ambigu (cf. section 3.2) et pourrait être supprimé dans une version future au profit d’un indicateur plus discriminant (ex : adoption DNSSEC)</w:t>
      </w:r>
      <w:r>
        <w:t xml:space="preserve"> </w:t>
      </w:r>
      <w:r>
        <w:t xml:space="preserve">- L’IMP ne capture pas la dimension temporelle de l’adoption — un pays ayant adopté IPv6 récemment aura le même score qu’un pays l’ayant adopté il y a 10 ans</w:t>
      </w:r>
    </w:p>
    <w:p>
      <w:r>
        <w:pict>
          <v:rect style="width:0;height:1.5pt" o:hralign="center" o:hrstd="t" o:hr="t"/>
        </w:pict>
      </w:r>
    </w:p>
    <w:bookmarkEnd w:id="36"/>
    <w:bookmarkEnd w:id="37"/>
    <w:bookmarkStart w:id="50" w:name="ivc-index-de-vulnérabilité-composite"/>
    <w:p>
      <w:pPr>
        <w:pStyle w:val="Heading2"/>
      </w:pPr>
      <w:r>
        <w:t xml:space="preserve">4. IVC — Index de Vulnérabilité Composite</w:t>
      </w:r>
    </w:p>
    <w:bookmarkStart w:id="38" w:name="contexte-et-motivation-2"/>
    <w:p>
      <w:pPr>
        <w:pStyle w:val="Heading3"/>
      </w:pPr>
      <w:r>
        <w:t xml:space="preserve">4.1 Contexte et Motivation</w:t>
      </w:r>
    </w:p>
    <w:p>
      <w:pPr>
        <w:pStyle w:val="FirstParagraph"/>
      </w:pPr>
      <w:r>
        <w:t xml:space="preserve">L’ISE et l’IMP mesurent respectivement la sécurité email et la maturité protocolaire de manière indépendante. L’IVC répond à un besoin différent :</w:t>
      </w:r>
      <w:r>
        <w:t xml:space="preserve"> </w:t>
      </w:r>
      <w:r>
        <w:rPr>
          <w:b/>
          <w:bCs/>
        </w:rPr>
        <w:t xml:space="preserve">mesurer la vulnérabilité globale d’internet à un instant donné</w:t>
      </w:r>
      <w:r>
        <w:t xml:space="preserve">, en agrégeant les signaux de menace provenant de quatre domaines distincts (BGP, email, protocoles, attaques réseau).</w:t>
      </w:r>
    </w:p>
    <w:p>
      <w:pPr>
        <w:pStyle w:val="BodyText"/>
      </w:pPr>
      <w:r>
        <w:t xml:space="preserve">L’IVC est une série temporelle hebdomadaire (non géographique) : il répond à la question</w:t>
      </w:r>
      <w:r>
        <w:t xml:space="preserve"> </w:t>
      </w:r>
      <w:r>
        <w:rPr>
          <w:i/>
          <w:iCs/>
        </w:rPr>
        <w:t xml:space="preserve">“La semaine t était-elle plus ou moins risquée que la semaine t-1 ?”</w:t>
      </w:r>
    </w:p>
    <w:p>
      <w:pPr>
        <w:pStyle w:val="BodyText"/>
      </w:pPr>
      <w:r>
        <w:t xml:space="preserve">Il est calculé sur la</w:t>
      </w:r>
      <w:r>
        <w:t xml:space="preserve"> </w:t>
      </w:r>
      <w:r>
        <w:rPr>
          <w:b/>
          <w:bCs/>
        </w:rPr>
        <w:t xml:space="preserve">fenêtre temporelle commune</w:t>
      </w:r>
      <w:r>
        <w:t xml:space="preserve"> </w:t>
      </w:r>
      <w:r>
        <w:t xml:space="preserve">de toutes les sources (mars – juin 2026, 13-16 semaines selon les séries disponibles).</w:t>
      </w:r>
    </w:p>
    <w:bookmarkEnd w:id="38"/>
    <w:bookmarkStart w:id="39" w:name="architecture-en-quatre-composantes"/>
    <w:p>
      <w:pPr>
        <w:pStyle w:val="Heading3"/>
      </w:pPr>
      <w:r>
        <w:t xml:space="preserve">4.2 Architecture en Quatre Composantes</w:t>
      </w:r>
    </w:p>
    <w:p>
      <w:pPr>
        <w:pStyle w:val="FirstParagraph"/>
      </w:pPr>
      <w:r>
        <w:t xml:space="preserve">L’IVC est construit en quatre composantes, chacune reflétant un domaine de menace :</w:t>
      </w:r>
    </w:p>
    <w:p>
      <w:pPr>
        <w:pStyle w:val="SourceCode"/>
      </w:pPr>
      <w:r>
        <w:rPr>
          <w:rStyle w:val="VerbatimChar"/>
        </w:rPr>
        <w:t xml:space="preserve">IVC = (BGP_risk × 0.30 + Email_threat × 0.30 + Proto_weakness × 0.20 + Net_attack × 0.20) × 100</w:t>
      </w:r>
    </w:p>
    <w:p>
      <w:pPr>
        <w:pStyle w:val="FirstParagraph"/>
      </w:pPr>
      <w:r>
        <w:t xml:space="preserve">Chaque composante est d’abord normalisée sur [0, 1] par la fonction</w:t>
      </w:r>
      <w:r>
        <w:t xml:space="preserve"> </w:t>
      </w:r>
      <w:r>
        <w:rPr>
          <w:rStyle w:val="VerbatimChar"/>
        </w:rPr>
        <w:t xml:space="preserve">norm01</w:t>
      </w:r>
      <w:r>
        <w:t xml:space="preserve"> </w:t>
      </w:r>
      <w:r>
        <w:t xml:space="preserve">:</w:t>
      </w:r>
    </w:p>
    <w:p>
      <w:pPr>
        <w:pStyle w:val="SourceCode"/>
      </w:pPr>
      <w:r>
        <w:rPr>
          <w:rStyle w:val="KeywordTok"/>
        </w:rPr>
        <w:t xml:space="preserve">def</w:t>
      </w:r>
      <w:r>
        <w:rPr>
          <w:rStyle w:val="NormalTok"/>
        </w:rPr>
        <w:t xml:space="preserve"> norm01(s):</w:t>
      </w:r>
      <w:r>
        <w:br/>
      </w:r>
      <w:r>
        <w:rPr>
          <w:rStyle w:val="NormalTok"/>
        </w:rPr>
        <w:t xml:space="preserve">    mn, mx </w:t>
      </w:r>
      <w:r>
        <w:rPr>
          <w:rStyle w:val="OperatorTok"/>
        </w:rPr>
        <w:t xml:space="preserve">=</w:t>
      </w:r>
      <w:r>
        <w:rPr>
          <w:rStyle w:val="NormalTok"/>
        </w:rPr>
        <w:t xml:space="preserve"> s.</w:t>
      </w:r>
      <w:r>
        <w:rPr>
          <w:rStyle w:val="BuiltInTok"/>
        </w:rPr>
        <w:t xml:space="preserve">min</w:t>
      </w:r>
      <w:r>
        <w:rPr>
          <w:rStyle w:val="NormalTok"/>
        </w:rPr>
        <w:t xml:space="preserve">(), s.</w:t>
      </w:r>
      <w:r>
        <w:rPr>
          <w:rStyle w:val="BuiltInTok"/>
        </w:rPr>
        <w:t xml:space="preserve">max</w:t>
      </w:r>
      <w:r>
        <w:rPr>
          <w:rStyle w:val="NormalTok"/>
        </w:rPr>
        <w:t xml:space="preserve">()</w:t>
      </w:r>
      <w:r>
        <w:br/>
      </w:r>
      <w:r>
        <w:rPr>
          <w:rStyle w:val="NormalTok"/>
        </w:rPr>
        <w:t xml:space="preserve">    </w:t>
      </w:r>
      <w:r>
        <w:rPr>
          <w:rStyle w:val="ControlFlowTok"/>
        </w:rPr>
        <w:t xml:space="preserve">return</w:t>
      </w:r>
      <w:r>
        <w:rPr>
          <w:rStyle w:val="NormalTok"/>
        </w:rPr>
        <w:t xml:space="preserve"> (s </w:t>
      </w:r>
      <w:r>
        <w:rPr>
          <w:rStyle w:val="OperatorTok"/>
        </w:rPr>
        <w:t xml:space="preserve">-</w:t>
      </w:r>
      <w:r>
        <w:rPr>
          <w:rStyle w:val="NormalTok"/>
        </w:rPr>
        <w:t xml:space="preserve"> mn) </w:t>
      </w:r>
      <w:r>
        <w:rPr>
          <w:rStyle w:val="OperatorTok"/>
        </w:rPr>
        <w:t xml:space="preserve">/</w:t>
      </w:r>
      <w:r>
        <w:rPr>
          <w:rStyle w:val="NormalTok"/>
        </w:rPr>
        <w:t xml:space="preserve"> (mx </w:t>
      </w:r>
      <w:r>
        <w:rPr>
          <w:rStyle w:val="OperatorTok"/>
        </w:rPr>
        <w:t xml:space="preserve">-</w:t>
      </w:r>
      <w:r>
        <w:rPr>
          <w:rStyle w:val="NormalTok"/>
        </w:rPr>
        <w:t xml:space="preserve"> mn) </w:t>
      </w:r>
      <w:r>
        <w:rPr>
          <w:rStyle w:val="ControlFlowTok"/>
        </w:rPr>
        <w:t xml:space="preserve">if</w:t>
      </w:r>
      <w:r>
        <w:rPr>
          <w:rStyle w:val="NormalTok"/>
        </w:rPr>
        <w:t xml:space="preserve"> mx </w:t>
      </w:r>
      <w:r>
        <w:rPr>
          <w:rStyle w:val="OperatorTok"/>
        </w:rPr>
        <w:t xml:space="preserve">&gt;</w:t>
      </w:r>
      <w:r>
        <w:rPr>
          <w:rStyle w:val="NormalTok"/>
        </w:rPr>
        <w:t xml:space="preserve"> mn </w:t>
      </w:r>
      <w:r>
        <w:rPr>
          <w:rStyle w:val="ControlFlowTok"/>
        </w:rPr>
        <w:t xml:space="preserve">else</w:t>
      </w:r>
      <w:r>
        <w:rPr>
          <w:rStyle w:val="NormalTok"/>
        </w:rPr>
        <w:t xml:space="preserve"> pd.Series(</w:t>
      </w:r>
      <w:r>
        <w:rPr>
          <w:rStyle w:val="DecValTok"/>
        </w:rPr>
        <w:t xml:space="preserve">0</w:t>
      </w:r>
      <w:r>
        <w:rPr>
          <w:rStyle w:val="NormalTok"/>
        </w:rPr>
        <w:t xml:space="preserve">, index</w:t>
      </w:r>
      <w:r>
        <w:rPr>
          <w:rStyle w:val="OperatorTok"/>
        </w:rPr>
        <w:t xml:space="preserve">=</w:t>
      </w:r>
      <w:r>
        <w:rPr>
          <w:rStyle w:val="NormalTok"/>
        </w:rPr>
        <w:t xml:space="preserve">s.index)</w:t>
      </w:r>
    </w:p>
    <w:bookmarkEnd w:id="39"/>
    <w:bookmarkStart w:id="44" w:name="détail-des-quatre-composantes"/>
    <w:p>
      <w:pPr>
        <w:pStyle w:val="Heading3"/>
      </w:pPr>
      <w:r>
        <w:t xml:space="preserve">4.3 Détail des Quatre Composantes</w:t>
      </w:r>
    </w:p>
    <w:bookmarkStart w:id="40" w:name="composante-1-bgp_risk-poids-0.30"/>
    <w:p>
      <w:pPr>
        <w:pStyle w:val="Heading4"/>
      </w:pPr>
      <w:r>
        <w:t xml:space="preserve">Composante 1 : BGP_risk (poids = 0.30)</w:t>
      </w:r>
    </w:p>
    <w:p>
      <w:pPr>
        <w:pStyle w:val="SourceCode"/>
      </w:pPr>
      <w:r>
        <w:rPr>
          <w:rStyle w:val="VerbatimChar"/>
        </w:rPr>
        <w:t xml:space="preserve">BGP_risk = norm01(hijack_count(t) × confidence_score(t))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Paramètre</w:t>
            </w:r>
          </w:p>
        </w:tc>
        <w:tc>
          <w:tcPr/>
          <w:p>
            <w:pPr>
              <w:pStyle w:val="Compact"/>
            </w:pPr>
            <w:r>
              <w:t xml:space="preserve">Description</w:t>
            </w:r>
          </w:p>
        </w:tc>
      </w:tr>
      <w:tr>
        <w:tc>
          <w:tcPr/>
          <w:p>
            <w:pPr>
              <w:pStyle w:val="Compact"/>
            </w:pPr>
            <w:r>
              <w:rPr>
                <w:rStyle w:val="VerbatimChar"/>
              </w:rPr>
              <w:t xml:space="preserve">hijack_count(t)</w:t>
            </w:r>
          </w:p>
        </w:tc>
        <w:tc>
          <w:tcPr/>
          <w:p>
            <w:pPr>
              <w:pStyle w:val="Compact"/>
            </w:pPr>
            <w:r>
              <w:t xml:space="preserve">Nombre de hijacks BGP détectés la semaine t</w:t>
            </w:r>
          </w:p>
        </w:tc>
      </w:tr>
      <w:tr>
        <w:tc>
          <w:tcPr/>
          <w:p>
            <w:pPr>
              <w:pStyle w:val="Compact"/>
            </w:pPr>
            <w:r>
              <w:rPr>
                <w:rStyle w:val="VerbatimChar"/>
              </w:rPr>
              <w:t xml:space="preserve">confidence_score(t)</w:t>
            </w:r>
          </w:p>
        </w:tc>
        <w:tc>
          <w:tcPr/>
          <w:p>
            <w:pPr>
              <w:pStyle w:val="Compact"/>
            </w:pPr>
            <w:r>
              <w:t xml:space="preserve">Score de confiance moyen des hijacks (1–12 sur échelle Cloudflare)</w:t>
            </w:r>
          </w:p>
        </w:tc>
      </w:tr>
      <w:tr>
        <w:tc>
          <w:tcPr/>
          <w:p>
            <w:pPr>
              <w:pStyle w:val="Compact"/>
            </w:pPr>
            <w:r>
              <w:t xml:space="preserve">Produit</w:t>
            </w:r>
          </w:p>
        </w:tc>
        <w:tc>
          <w:tcPr/>
          <w:p>
            <w:pPr>
              <w:pStyle w:val="Compact"/>
            </w:pPr>
            <w:r>
              <w:t xml:space="preserve">Mesure le risque BGP pondéré par la fiabilité de détection</w:t>
            </w:r>
          </w:p>
        </w:tc>
      </w:tr>
      <w:tr>
        <w:tc>
          <w:tcPr/>
          <w:p>
            <w:pPr>
              <w:pStyle w:val="Compact"/>
            </w:pPr>
            <w:r>
              <w:t xml:space="preserve">Normalisation</w:t>
            </w:r>
          </w:p>
        </w:tc>
        <w:tc>
          <w:tcPr/>
          <w:p>
            <w:pPr>
              <w:pStyle w:val="Compact"/>
            </w:pPr>
            <w:r>
              <w:t xml:space="preserve">Min-max sur la fenêtre commune</w:t>
            </w:r>
          </w:p>
        </w:tc>
      </w:tr>
    </w:tbl>
    <w:p>
      <w:pPr>
        <w:pStyle w:val="BodyText"/>
      </w:pPr>
      <w:r>
        <w:rPr>
          <w:b/>
          <w:bCs/>
        </w:rPr>
        <w:t xml:space="preserve">Justification :</w:t>
      </w:r>
      <w:r>
        <w:t xml:space="preserve"> </w:t>
      </w:r>
      <w:r>
        <w:t xml:space="preserve">Un hijack à confiance 12 (certain) est 12 fois plus significatif qu’un hijack à confiance 1 (possible faux positif). Le produit count × confidence agrège volume et qualité de signal.</w:t>
      </w:r>
    </w:p>
    <w:bookmarkEnd w:id="40"/>
    <w:bookmarkStart w:id="41" w:name="composante-2-email_threat-poids-0.30"/>
    <w:p>
      <w:pPr>
        <w:pStyle w:val="Heading4"/>
      </w:pPr>
      <w:r>
        <w:t xml:space="preserve">Composante 2 : Email_threat (poids = 0.30)</w:t>
      </w:r>
    </w:p>
    <w:p>
      <w:pPr>
        <w:pStyle w:val="SourceCode"/>
      </w:pPr>
      <w:r>
        <w:rPr>
          <w:rStyle w:val="VerbatimChar"/>
        </w:rPr>
        <w:t xml:space="preserve">Email_threat = norm01(SPOOF(t) + MALICIOUS(t) + DMARC_FAIL(t))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Paramètre</w:t>
            </w:r>
          </w:p>
        </w:tc>
        <w:tc>
          <w:tcPr/>
          <w:p>
            <w:pPr>
              <w:pStyle w:val="Compact"/>
            </w:pPr>
            <w:r>
              <w:t xml:space="preserve">Description</w:t>
            </w:r>
          </w:p>
        </w:tc>
      </w:tr>
      <w:tr>
        <w:tc>
          <w:tcPr/>
          <w:p>
            <w:pPr>
              <w:pStyle w:val="Compact"/>
            </w:pPr>
            <w:r>
              <w:rPr>
                <w:rStyle w:val="VerbatimChar"/>
              </w:rPr>
              <w:t xml:space="preserve">SPOOF(t)</w:t>
            </w:r>
          </w:p>
        </w:tc>
        <w:tc>
          <w:tcPr/>
          <w:p>
            <w:pPr>
              <w:pStyle w:val="Compact"/>
            </w:pPr>
            <w:r>
              <w:t xml:space="preserve">Taux d’emails spoofés (%)</w:t>
            </w:r>
          </w:p>
        </w:tc>
      </w:tr>
      <w:tr>
        <w:tc>
          <w:tcPr/>
          <w:p>
            <w:pPr>
              <w:pStyle w:val="Compact"/>
            </w:pPr>
            <w:r>
              <w:rPr>
                <w:rStyle w:val="VerbatimChar"/>
              </w:rPr>
              <w:t xml:space="preserve">MALICIOUS(t)</w:t>
            </w:r>
          </w:p>
        </w:tc>
        <w:tc>
          <w:tcPr/>
          <w:p>
            <w:pPr>
              <w:pStyle w:val="Compact"/>
            </w:pPr>
            <w:r>
              <w:t xml:space="preserve">Taux d’emails malicieux (%)</w:t>
            </w:r>
          </w:p>
        </w:tc>
      </w:tr>
      <w:tr>
        <w:tc>
          <w:tcPr/>
          <w:p>
            <w:pPr>
              <w:pStyle w:val="Compact"/>
            </w:pPr>
            <w:r>
              <w:rPr>
                <w:rStyle w:val="VerbatimChar"/>
              </w:rPr>
              <w:t xml:space="preserve">DMARC_FAIL(t)</w:t>
            </w:r>
          </w:p>
        </w:tc>
        <w:tc>
          <w:tcPr/>
          <w:p>
            <w:pPr>
              <w:pStyle w:val="Compact"/>
            </w:pPr>
            <w:r>
              <w:t xml:space="preserve">Taux d’emails échouant DMARC (%) — indicateur de non-conformité</w:t>
            </w:r>
          </w:p>
        </w:tc>
      </w:tr>
      <w:tr>
        <w:tc>
          <w:tcPr/>
          <w:p>
            <w:pPr>
              <w:pStyle w:val="Compact"/>
            </w:pPr>
            <w:r>
              <w:t xml:space="preserve">Somme brute</w:t>
            </w:r>
          </w:p>
        </w:tc>
        <w:tc>
          <w:tcPr/>
          <w:p>
            <w:pPr>
              <w:pStyle w:val="Compact"/>
            </w:pPr>
            <w:r>
              <w:t xml:space="preserve">Reflète l’intensité totale de la menace email</w:t>
            </w:r>
          </w:p>
        </w:tc>
      </w:tr>
      <w:tr>
        <w:tc>
          <w:tcPr/>
          <w:p>
            <w:pPr>
              <w:pStyle w:val="Compact"/>
            </w:pPr>
            <w:r>
              <w:t xml:space="preserve">Normalisation</w:t>
            </w:r>
          </w:p>
        </w:tc>
        <w:tc>
          <w:tcPr/>
          <w:p>
            <w:pPr>
              <w:pStyle w:val="Compact"/>
            </w:pPr>
            <w:r>
              <w:t xml:space="preserve">Min-max sur la fenêtre commune</w:t>
            </w:r>
          </w:p>
        </w:tc>
      </w:tr>
    </w:tbl>
    <w:p>
      <w:pPr>
        <w:pStyle w:val="BodyText"/>
      </w:pPr>
      <w:r>
        <w:rPr>
          <w:b/>
          <w:bCs/>
        </w:rPr>
        <w:t xml:space="preserve">Justification :</w:t>
      </w:r>
      <w:r>
        <w:t xml:space="preserve"> </w:t>
      </w:r>
      <w:r>
        <w:t xml:space="preserve">SPOOF et MALICIOUS sont fortement corrélés (ρ=0.92 intra-domaine) et leur causale de Granger est confirmée. L’ajout de DMARC_FAIL capture les domaines non protégés, signal précurseur de spoofing.</w:t>
      </w:r>
    </w:p>
    <w:bookmarkEnd w:id="41"/>
    <w:bookmarkStart w:id="42" w:name="composante-3-proto_weakness-poids-0.20"/>
    <w:p>
      <w:pPr>
        <w:pStyle w:val="Heading4"/>
      </w:pPr>
      <w:r>
        <w:t xml:space="preserve">Composante 3 : Proto_weakness (poids = 0.20)</w:t>
      </w:r>
    </w:p>
    <w:p>
      <w:pPr>
        <w:pStyle w:val="SourceCode"/>
      </w:pPr>
      <w:r>
        <w:rPr>
          <w:rStyle w:val="VerbatimChar"/>
        </w:rPr>
        <w:t xml:space="preserve">Proto_weakness = norm01(100 − IMP(t))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Paramètre</w:t>
            </w:r>
          </w:p>
        </w:tc>
        <w:tc>
          <w:tcPr/>
          <w:p>
            <w:pPr>
              <w:pStyle w:val="Compact"/>
            </w:pPr>
            <w:r>
              <w:t xml:space="preserve">Description</w:t>
            </w:r>
          </w:p>
        </w:tc>
      </w:tr>
      <w:tr>
        <w:tc>
          <w:tcPr/>
          <w:p>
            <w:pPr>
              <w:pStyle w:val="Compact"/>
            </w:pPr>
            <w:r>
              <w:rPr>
                <w:rStyle w:val="VerbatimChar"/>
              </w:rPr>
              <w:t xml:space="preserve">IMP(t)</w:t>
            </w:r>
          </w:p>
        </w:tc>
        <w:tc>
          <w:tcPr/>
          <w:p>
            <w:pPr>
              <w:pStyle w:val="Compact"/>
            </w:pPr>
            <w:r>
              <w:t xml:space="preserve">Index de Maturité Protocolaire mondial moyen à la semaine t</w:t>
            </w:r>
          </w:p>
        </w:tc>
      </w:tr>
      <w:tr>
        <w:tc>
          <w:tcPr/>
          <w:p>
            <w:pPr>
              <w:pStyle w:val="Compact"/>
            </w:pPr>
            <w:r>
              <w:rPr>
                <w:rStyle w:val="VerbatimChar"/>
              </w:rPr>
              <w:t xml:space="preserve">100 − IMP(t)</w:t>
            </w:r>
          </w:p>
        </w:tc>
        <w:tc>
          <w:tcPr/>
          <w:p>
            <w:pPr>
              <w:pStyle w:val="Compact"/>
            </w:pPr>
            <w:r>
              <w:t xml:space="preserve">Inversion : une faible maturité = forte faiblesse protocolaire</w:t>
            </w:r>
          </w:p>
        </w:tc>
      </w:tr>
      <w:tr>
        <w:tc>
          <w:tcPr/>
          <w:p>
            <w:pPr>
              <w:pStyle w:val="Compact"/>
            </w:pPr>
            <w:r>
              <w:t xml:space="preserve">Normalisation</w:t>
            </w:r>
          </w:p>
        </w:tc>
        <w:tc>
          <w:tcPr/>
          <w:p>
            <w:pPr>
              <w:pStyle w:val="Compact"/>
            </w:pPr>
            <w:r>
              <w:t xml:space="preserve">Min-max sur la fenêtre commune</w:t>
            </w:r>
          </w:p>
        </w:tc>
      </w:tr>
    </w:tbl>
    <w:p>
      <w:pPr>
        <w:pStyle w:val="BodyText"/>
      </w:pPr>
      <w:r>
        <w:rPr>
          <w:b/>
          <w:bCs/>
        </w:rPr>
        <w:t xml:space="preserve">Justification :</w:t>
      </w:r>
      <w:r>
        <w:t xml:space="preserve"> </w:t>
      </w:r>
      <w:r>
        <w:t xml:space="preserve">La faiblesse protocolaire est un</w:t>
      </w:r>
      <w:r>
        <w:t xml:space="preserve"> </w:t>
      </w:r>
      <w:r>
        <w:rPr>
          <w:b/>
          <w:bCs/>
        </w:rPr>
        <w:t xml:space="preserve">risque de fond</w:t>
      </w:r>
      <w:r>
        <w:t xml:space="preserve"> </w:t>
      </w:r>
      <w:r>
        <w:t xml:space="preserve">: un internet avec peu d’IPv6, peu de TLS 1.3 et peu d’HTTP/3 est structurellement plus vulnérable. Cette composante évolue lentement (τ IMP = +0.31) mais contribue à contextualiser les autres risques.</w:t>
      </w:r>
    </w:p>
    <w:bookmarkEnd w:id="42"/>
    <w:bookmarkStart w:id="43" w:name="composante-4-net_attack-poids-0.20"/>
    <w:p>
      <w:pPr>
        <w:pStyle w:val="Heading4"/>
      </w:pPr>
      <w:r>
        <w:t xml:space="preserve">Composante 4 : Net_attack (poids = 0.20)</w:t>
      </w:r>
    </w:p>
    <w:p>
      <w:pPr>
        <w:pStyle w:val="SourceCode"/>
      </w:pPr>
      <w:r>
        <w:rPr>
          <w:rStyle w:val="VerbatimChar"/>
        </w:rPr>
        <w:t xml:space="preserve">Net_attack = norm01(norm01(L3_high_vol(t)) + norm01(L7_Internet_Telecom(t)))</w:t>
      </w:r>
    </w:p>
    <w:p>
      <w:pPr>
        <w:pStyle w:val="FirstParagraph"/>
      </w:pPr>
      <w:r>
        <w:t xml:space="preserve">Avec</w:t>
      </w:r>
      <w:r>
        <w:t xml:space="preserve"> </w:t>
      </w:r>
      <w:r>
        <w:rPr>
          <w:rStyle w:val="VerbatimChar"/>
        </w:rPr>
        <w:t xml:space="preserve">L7_Internet_Telecom</w:t>
      </w:r>
      <w:r>
        <w:t xml:space="preserve"> </w:t>
      </w:r>
      <w:r>
        <w:t xml:space="preserve">disponible seulement si la série L7 existe dans la fenêtre commune ; sinon :</w:t>
      </w:r>
    </w:p>
    <w:p>
      <w:pPr>
        <w:pStyle w:val="SourceCode"/>
      </w:pPr>
      <w:r>
        <w:rPr>
          <w:rStyle w:val="VerbatimChar"/>
        </w:rPr>
        <w:t xml:space="preserve">Net_attack = norm01(L3_high_vol(t))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Paramètre</w:t>
            </w:r>
          </w:p>
        </w:tc>
        <w:tc>
          <w:tcPr/>
          <w:p>
            <w:pPr>
              <w:pStyle w:val="Compact"/>
            </w:pPr>
            <w:r>
              <w:t xml:space="preserve">Description</w:t>
            </w:r>
          </w:p>
        </w:tc>
      </w:tr>
      <w:tr>
        <w:tc>
          <w:tcPr/>
          <w:p>
            <w:pPr>
              <w:pStyle w:val="Compact"/>
            </w:pPr>
            <w:r>
              <w:rPr>
                <w:rStyle w:val="VerbatimChar"/>
              </w:rPr>
              <w:t xml:space="preserve">L3_high_vol(t)</w:t>
            </w:r>
          </w:p>
        </w:tc>
        <w:tc>
          <w:tcPr/>
          <w:p>
            <w:pPr>
              <w:pStyle w:val="Compact"/>
            </w:pPr>
            <w:r>
              <w:t xml:space="preserve">Part des attaques L3 de &gt;1 Gbps (%) — mesure la capacité offensive réseau</w:t>
            </w:r>
          </w:p>
        </w:tc>
      </w:tr>
      <w:tr>
        <w:tc>
          <w:tcPr/>
          <w:p>
            <w:pPr>
              <w:pStyle w:val="Compact"/>
            </w:pPr>
            <w:r>
              <w:rPr>
                <w:rStyle w:val="VerbatimChar"/>
              </w:rPr>
              <w:t xml:space="preserve">L7_Internet_Telecom(t)</w:t>
            </w:r>
          </w:p>
        </w:tc>
        <w:tc>
          <w:tcPr/>
          <w:p>
            <w:pPr>
              <w:pStyle w:val="Compact"/>
            </w:pPr>
            <w:r>
              <w:t xml:space="preserve">Part des attaques L7 ciblant Internet &amp; Télécom (%)</w:t>
            </w:r>
          </w:p>
        </w:tc>
      </w:tr>
      <w:tr>
        <w:tc>
          <w:tcPr/>
          <w:p>
            <w:pPr>
              <w:pStyle w:val="Compact"/>
            </w:pPr>
            <w:r>
              <w:t xml:space="preserve">Double norm01</w:t>
            </w:r>
          </w:p>
        </w:tc>
        <w:tc>
          <w:tcPr/>
          <w:p>
            <w:pPr>
              <w:pStyle w:val="Compact"/>
            </w:pPr>
            <w:r>
              <w:t xml:space="preserve">Normalisation interne puis externe pour équilibrer les deux signaux</w:t>
            </w:r>
          </w:p>
        </w:tc>
      </w:tr>
    </w:tbl>
    <w:p>
      <w:pPr>
        <w:pStyle w:val="BodyText"/>
      </w:pPr>
      <w:r>
        <w:rPr>
          <w:b/>
          <w:bCs/>
        </w:rPr>
        <w:t xml:space="preserve">Justification :</w:t>
      </w:r>
      <w:r>
        <w:t xml:space="preserve"> </w:t>
      </w:r>
      <w:r>
        <w:t xml:space="preserve">Les attaques L3 à haut volume et les attaques L7 applicatives représentent deux vecteurs distincts ; leur double normalisation évite qu’un signal dominant écrase l’autre.</w:t>
      </w:r>
    </w:p>
    <w:bookmarkEnd w:id="43"/>
    <w:bookmarkEnd w:id="44"/>
    <w:bookmarkStart w:id="45" w:name="tableau-récapitulatif-de-construction"/>
    <w:p>
      <w:pPr>
        <w:pStyle w:val="Heading3"/>
      </w:pPr>
      <w:r>
        <w:t xml:space="preserve">4.4 Tableau Récapitulatif de Construction</w:t>
      </w:r>
    </w:p>
    <w:tbl>
      <w:tblPr>
        <w:tblStyle w:val="Table"/>
        <w:tblW w:type="pct" w:w="5000"/>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pPr>
            <w:r>
              <w:t xml:space="preserve">Composante</w:t>
            </w:r>
          </w:p>
        </w:tc>
        <w:tc>
          <w:tcPr/>
          <w:p>
            <w:pPr>
              <w:pStyle w:val="Compact"/>
            </w:pPr>
            <w:r>
              <w:t xml:space="preserve">Formule brute</w:t>
            </w:r>
          </w:p>
        </w:tc>
        <w:tc>
          <w:tcPr/>
          <w:p>
            <w:pPr>
              <w:pStyle w:val="Compact"/>
            </w:pPr>
            <w:r>
              <w:t xml:space="preserve">norm01</w:t>
            </w:r>
          </w:p>
        </w:tc>
        <w:tc>
          <w:tcPr/>
          <w:p>
            <w:pPr>
              <w:pStyle w:val="Compact"/>
              <w:jc w:val="right"/>
            </w:pPr>
            <w:r>
              <w:t xml:space="preserve">Poids</w:t>
            </w:r>
          </w:p>
        </w:tc>
        <w:tc>
          <w:tcPr/>
          <w:p>
            <w:pPr>
              <w:pStyle w:val="Compact"/>
            </w:pPr>
            <w:r>
              <w:t xml:space="preserve">Signification</w:t>
            </w:r>
          </w:p>
        </w:tc>
      </w:tr>
      <w:tr>
        <w:tc>
          <w:tcPr/>
          <w:p>
            <w:pPr>
              <w:pStyle w:val="Compact"/>
            </w:pPr>
            <w:r>
              <w:t xml:space="preserve">BGP_risk</w:t>
            </w:r>
          </w:p>
        </w:tc>
        <w:tc>
          <w:tcPr/>
          <w:p>
            <w:pPr>
              <w:pStyle w:val="Compact"/>
            </w:pPr>
            <w:r>
              <w:t xml:space="preserve">hijack_count × confidence</w:t>
            </w:r>
          </w:p>
        </w:tc>
        <w:tc>
          <w:tcPr/>
          <w:p>
            <w:pPr>
              <w:pStyle w:val="Compact"/>
            </w:pPr>
            <w:r>
              <w:t xml:space="preserve">Oui</w:t>
            </w:r>
          </w:p>
        </w:tc>
        <w:tc>
          <w:tcPr/>
          <w:p>
            <w:pPr>
              <w:pStyle w:val="Compact"/>
              <w:jc w:val="right"/>
            </w:pPr>
            <w:r>
              <w:t xml:space="preserve">0.30</w:t>
            </w:r>
          </w:p>
        </w:tc>
        <w:tc>
          <w:tcPr/>
          <w:p>
            <w:pPr>
              <w:pStyle w:val="Compact"/>
            </w:pPr>
            <w:r>
              <w:t xml:space="preserve">Risque de routage BGP pondéré par fiabilité</w:t>
            </w:r>
          </w:p>
        </w:tc>
      </w:tr>
      <w:tr>
        <w:tc>
          <w:tcPr/>
          <w:p>
            <w:pPr>
              <w:pStyle w:val="Compact"/>
            </w:pPr>
            <w:r>
              <w:t xml:space="preserve">Email_threat</w:t>
            </w:r>
          </w:p>
        </w:tc>
        <w:tc>
          <w:tcPr/>
          <w:p>
            <w:pPr>
              <w:pStyle w:val="Compact"/>
            </w:pPr>
            <w:r>
              <w:t xml:space="preserve">SPOOF + MALICIOUS + DMARC_FAIL</w:t>
            </w:r>
          </w:p>
        </w:tc>
        <w:tc>
          <w:tcPr/>
          <w:p>
            <w:pPr>
              <w:pStyle w:val="Compact"/>
            </w:pPr>
            <w:r>
              <w:t xml:space="preserve">Oui</w:t>
            </w:r>
          </w:p>
        </w:tc>
        <w:tc>
          <w:tcPr/>
          <w:p>
            <w:pPr>
              <w:pStyle w:val="Compact"/>
              <w:jc w:val="right"/>
            </w:pPr>
            <w:r>
              <w:t xml:space="preserve">0.30</w:t>
            </w:r>
          </w:p>
        </w:tc>
        <w:tc>
          <w:tcPr/>
          <w:p>
            <w:pPr>
              <w:pStyle w:val="Compact"/>
            </w:pPr>
            <w:r>
              <w:t xml:space="preserve">Intensité totale des menaces email</w:t>
            </w:r>
          </w:p>
        </w:tc>
      </w:tr>
      <w:tr>
        <w:tc>
          <w:tcPr/>
          <w:p>
            <w:pPr>
              <w:pStyle w:val="Compact"/>
            </w:pPr>
            <w:r>
              <w:t xml:space="preserve">Proto_weakness</w:t>
            </w:r>
          </w:p>
        </w:tc>
        <w:tc>
          <w:tcPr/>
          <w:p>
            <w:pPr>
              <w:pStyle w:val="Compact"/>
            </w:pPr>
            <w:r>
              <w:t xml:space="preserve">100 − IMP</w:t>
            </w:r>
          </w:p>
        </w:tc>
        <w:tc>
          <w:tcPr/>
          <w:p>
            <w:pPr>
              <w:pStyle w:val="Compact"/>
            </w:pPr>
            <w:r>
              <w:t xml:space="preserve">Oui</w:t>
            </w:r>
          </w:p>
        </w:tc>
        <w:tc>
          <w:tcPr/>
          <w:p>
            <w:pPr>
              <w:pStyle w:val="Compact"/>
              <w:jc w:val="right"/>
            </w:pPr>
            <w:r>
              <w:t xml:space="preserve">0.20</w:t>
            </w:r>
          </w:p>
        </w:tc>
        <w:tc>
          <w:tcPr/>
          <w:p>
            <w:pPr>
              <w:pStyle w:val="Compact"/>
            </w:pPr>
            <w:r>
              <w:t xml:space="preserve">Déficit de maturité protocolaire mondiale</w:t>
            </w:r>
          </w:p>
        </w:tc>
      </w:tr>
      <w:tr>
        <w:tc>
          <w:tcPr/>
          <w:p>
            <w:pPr>
              <w:pStyle w:val="Compact"/>
            </w:pPr>
            <w:r>
              <w:t xml:space="preserve">Net_attack</w:t>
            </w:r>
          </w:p>
        </w:tc>
        <w:tc>
          <w:tcPr/>
          <w:p>
            <w:pPr>
              <w:pStyle w:val="Compact"/>
            </w:pPr>
            <w:r>
              <w:t xml:space="preserve">norm01(L3_high) + norm01(L7_IT)</w:t>
            </w:r>
          </w:p>
        </w:tc>
        <w:tc>
          <w:tcPr/>
          <w:p>
            <w:pPr>
              <w:pStyle w:val="Compact"/>
            </w:pPr>
            <w:r>
              <w:t xml:space="preserve">Oui</w:t>
            </w:r>
          </w:p>
        </w:tc>
        <w:tc>
          <w:tcPr/>
          <w:p>
            <w:pPr>
              <w:pStyle w:val="Compact"/>
              <w:jc w:val="right"/>
            </w:pPr>
            <w:r>
              <w:t xml:space="preserve">0.20</w:t>
            </w:r>
          </w:p>
        </w:tc>
        <w:tc>
          <w:tcPr/>
          <w:p>
            <w:pPr>
              <w:pStyle w:val="Compact"/>
            </w:pPr>
            <w:r>
              <w:t xml:space="preserve">Intensité des attaques réseau multicouche</w:t>
            </w:r>
          </w:p>
        </w:tc>
      </w:tr>
      <w:tr>
        <w:tc>
          <w:tcPr/>
          <w:p>
            <w:pPr>
              <w:pStyle w:val="Compact"/>
            </w:pPr>
            <w:r>
              <w:rPr>
                <w:b/>
                <w:bCs/>
              </w:rPr>
              <w:t xml:space="preserve">IVC</w:t>
            </w:r>
          </w:p>
        </w:tc>
        <w:tc>
          <w:tcPr/>
          <w:p>
            <w:pPr>
              <w:pStyle w:val="Compact"/>
            </w:pPr>
            <w:r>
              <w:t xml:space="preserve">Σ composantes × 100</w:t>
            </w:r>
          </w:p>
        </w:tc>
        <w:tc>
          <w:tcPr/>
          <w:p>
            <w:pPr>
              <w:pStyle w:val="Compact"/>
            </w:pPr>
            <w:r>
              <w:t xml:space="preserve">—</w:t>
            </w:r>
          </w:p>
        </w:tc>
        <w:tc>
          <w:tcPr/>
          <w:p>
            <w:pPr>
              <w:pStyle w:val="Compact"/>
              <w:jc w:val="right"/>
            </w:pPr>
            <w:r>
              <w:t xml:space="preserve">—</w:t>
            </w:r>
          </w:p>
        </w:tc>
        <w:tc>
          <w:tcPr/>
          <w:p>
            <w:pPr>
              <w:pStyle w:val="Compact"/>
            </w:pPr>
            <w:r>
              <w:rPr>
                <w:b/>
                <w:bCs/>
              </w:rPr>
              <w:t xml:space="preserve">Vulnérabilité internet globale [0, 100]</w:t>
            </w:r>
          </w:p>
        </w:tc>
      </w:tr>
    </w:tbl>
    <w:bookmarkEnd w:id="45"/>
    <w:bookmarkStart w:id="46" w:name="interprétation-du-score-ivc"/>
    <w:p>
      <w:pPr>
        <w:pStyle w:val="Heading3"/>
      </w:pPr>
      <w:r>
        <w:t xml:space="preserve">4.5 Interprétation du Score IVC</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IVC</w:t>
            </w:r>
          </w:p>
        </w:tc>
        <w:tc>
          <w:tcPr/>
          <w:p>
            <w:pPr>
              <w:pStyle w:val="Compact"/>
            </w:pPr>
            <w:r>
              <w:t xml:space="preserve">Niveau</w:t>
            </w:r>
          </w:p>
        </w:tc>
        <w:tc>
          <w:tcPr/>
          <w:p>
            <w:pPr>
              <w:pStyle w:val="Compact"/>
            </w:pPr>
            <w:r>
              <w:t xml:space="preserve">Interprétation</w:t>
            </w:r>
          </w:p>
        </w:tc>
      </w:tr>
      <w:tr>
        <w:tc>
          <w:tcPr/>
          <w:p>
            <w:pPr>
              <w:pStyle w:val="Compact"/>
              <w:jc w:val="right"/>
            </w:pPr>
            <w:r>
              <w:t xml:space="preserve">≥ 75</w:t>
            </w:r>
          </w:p>
        </w:tc>
        <w:tc>
          <w:tcPr/>
          <w:p>
            <w:pPr>
              <w:pStyle w:val="Compact"/>
            </w:pPr>
            <w:r>
              <w:t xml:space="preserve">CRITIQUE</w:t>
            </w:r>
          </w:p>
        </w:tc>
        <w:tc>
          <w:tcPr/>
          <w:p>
            <w:pPr>
              <w:pStyle w:val="Compact"/>
            </w:pPr>
            <w:r>
              <w:t xml:space="preserve">Convergence de menaces graves sur plusieurs domaines. Action immédiate requise.</w:t>
            </w:r>
          </w:p>
        </w:tc>
      </w:tr>
      <w:tr>
        <w:tc>
          <w:tcPr/>
          <w:p>
            <w:pPr>
              <w:pStyle w:val="Compact"/>
              <w:jc w:val="right"/>
            </w:pPr>
            <w:r>
              <w:t xml:space="preserve">50 – 74</w:t>
            </w:r>
          </w:p>
        </w:tc>
        <w:tc>
          <w:tcPr/>
          <w:p>
            <w:pPr>
              <w:pStyle w:val="Compact"/>
            </w:pPr>
            <w:r>
              <w:t xml:space="preserve">ÉLEVÉ</w:t>
            </w:r>
          </w:p>
        </w:tc>
        <w:tc>
          <w:tcPr/>
          <w:p>
            <w:pPr>
              <w:pStyle w:val="Compact"/>
            </w:pPr>
            <w:r>
              <w:t xml:space="preserve">Menaces significatives dans au moins deux domaines. Surveillance renforcée.</w:t>
            </w:r>
          </w:p>
        </w:tc>
      </w:tr>
      <w:tr>
        <w:tc>
          <w:tcPr/>
          <w:p>
            <w:pPr>
              <w:pStyle w:val="Compact"/>
              <w:jc w:val="right"/>
            </w:pPr>
            <w:r>
              <w:t xml:space="preserve">25 – 49</w:t>
            </w:r>
          </w:p>
        </w:tc>
        <w:tc>
          <w:tcPr/>
          <w:p>
            <w:pPr>
              <w:pStyle w:val="Compact"/>
            </w:pPr>
            <w:r>
              <w:t xml:space="preserve">MODÉRÉ</w:t>
            </w:r>
          </w:p>
        </w:tc>
        <w:tc>
          <w:tcPr/>
          <w:p>
            <w:pPr>
              <w:pStyle w:val="Compact"/>
            </w:pPr>
            <w:r>
              <w:t xml:space="preserve">Situation nominale avec tensions ponctuelles. Monitoring standard.</w:t>
            </w:r>
          </w:p>
        </w:tc>
      </w:tr>
      <w:tr>
        <w:tc>
          <w:tcPr/>
          <w:p>
            <w:pPr>
              <w:pStyle w:val="Compact"/>
              <w:jc w:val="right"/>
            </w:pPr>
            <w:r>
              <w:t xml:space="preserve">&lt; 25</w:t>
            </w:r>
          </w:p>
        </w:tc>
        <w:tc>
          <w:tcPr/>
          <w:p>
            <w:pPr>
              <w:pStyle w:val="Compact"/>
            </w:pPr>
            <w:r>
              <w:t xml:space="preserve">FAIBLE</w:t>
            </w:r>
          </w:p>
        </w:tc>
        <w:tc>
          <w:tcPr/>
          <w:p>
            <w:pPr>
              <w:pStyle w:val="Compact"/>
            </w:pPr>
            <w:r>
              <w:t xml:space="preserve">Semaine calme, menaces sous le niveau habituel.</w:t>
            </w:r>
          </w:p>
        </w:tc>
      </w:tr>
    </w:tbl>
    <w:p>
      <w:pPr>
        <w:pStyle w:val="BodyText"/>
      </w:pPr>
      <w:r>
        <w:rPr>
          <w:b/>
          <w:bCs/>
        </w:rPr>
        <w:t xml:space="preserve">Valeurs observées (mars – juin 2026)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Statistique</w:t>
            </w:r>
          </w:p>
        </w:tc>
        <w:tc>
          <w:tcPr/>
          <w:p>
            <w:pPr>
              <w:pStyle w:val="Compact"/>
              <w:jc w:val="right"/>
            </w:pPr>
            <w:r>
              <w:t xml:space="preserve">Valeur</w:t>
            </w:r>
          </w:p>
        </w:tc>
      </w:tr>
      <w:tr>
        <w:tc>
          <w:tcPr/>
          <w:p>
            <w:pPr>
              <w:pStyle w:val="Compact"/>
            </w:pPr>
            <w:r>
              <w:t xml:space="preserve">Minimum</w:t>
            </w:r>
          </w:p>
        </w:tc>
        <w:tc>
          <w:tcPr/>
          <w:p>
            <w:pPr>
              <w:pStyle w:val="Compact"/>
              <w:jc w:val="right"/>
            </w:pPr>
            <w:r>
              <w:t xml:space="preserve">(semaine la plus calme)</w:t>
            </w:r>
          </w:p>
        </w:tc>
      </w:tr>
      <w:tr>
        <w:tc>
          <w:tcPr/>
          <w:p>
            <w:pPr>
              <w:pStyle w:val="Compact"/>
            </w:pPr>
            <w:r>
              <w:t xml:space="preserve">Maximum</w:t>
            </w:r>
          </w:p>
        </w:tc>
        <w:tc>
          <w:tcPr/>
          <w:p>
            <w:pPr>
              <w:pStyle w:val="Compact"/>
              <w:jc w:val="right"/>
            </w:pPr>
            <w:r>
              <w:t xml:space="preserve">71.0 / 100 (semaine du 18 mai 2026)</w:t>
            </w:r>
          </w:p>
        </w:tc>
      </w:tr>
      <w:tr>
        <w:tc>
          <w:tcPr/>
          <w:p>
            <w:pPr>
              <w:pStyle w:val="Compact"/>
            </w:pPr>
            <w:r>
              <w:t xml:space="preserve">Moyenne</w:t>
            </w:r>
          </w:p>
        </w:tc>
        <w:tc>
          <w:tcPr/>
          <w:p>
            <w:pPr>
              <w:pStyle w:val="Compact"/>
              <w:jc w:val="right"/>
            </w:pPr>
            <w:r>
              <w:t xml:space="preserve">42.3 / 100</w:t>
            </w:r>
          </w:p>
        </w:tc>
      </w:tr>
      <w:tr>
        <w:tc>
          <w:tcPr/>
          <w:p>
            <w:pPr>
              <w:pStyle w:val="Compact"/>
            </w:pPr>
            <w:r>
              <w:t xml:space="preserve">Tendance Mann-Kendall τ</w:t>
            </w:r>
          </w:p>
        </w:tc>
        <w:tc>
          <w:tcPr/>
          <w:p>
            <w:pPr>
              <w:pStyle w:val="Compact"/>
              <w:jc w:val="right"/>
            </w:pPr>
            <w:r>
              <w:t xml:space="preserve">+0.62 (p=0.003) — hausse forte</w:t>
            </w:r>
          </w:p>
        </w:tc>
      </w:tr>
    </w:tbl>
    <w:bookmarkEnd w:id="46"/>
    <w:bookmarkStart w:id="47" w:name="X8ec22c103f16c8fc75f6d69545b0813e12ecf37"/>
    <w:p>
      <w:pPr>
        <w:pStyle w:val="Heading3"/>
      </w:pPr>
      <w:r>
        <w:t xml:space="preserve">4.6 Top 5 Semaines Critiques (IVC le plus élevé)</w:t>
      </w:r>
    </w:p>
    <w:tbl>
      <w:tblPr>
        <w:tblStyle w:val="Table"/>
        <w:tblW w:type="pct" w:w="5000"/>
        <w:tblLayout w:type="fixed"/>
        <w:tblLook w:firstRow="1" w:lastRow="0" w:firstColumn="0" w:lastColumn="0" w:noHBand="0" w:noVBand="0" w:val="0020"/>
      </w:tblPr>
      <w:tblGrid>
        <w:gridCol w:w="1173"/>
        <w:gridCol w:w="880"/>
        <w:gridCol w:w="1173"/>
        <w:gridCol w:w="1173"/>
        <w:gridCol w:w="1173"/>
        <w:gridCol w:w="1173"/>
        <w:gridCol w:w="1173"/>
      </w:tblGrid>
      <w:tr>
        <w:trPr>
          <w:tblHeader w:val="on"/>
        </w:trPr>
        <w:tc>
          <w:tcPr/>
          <w:p>
            <w:pPr>
              <w:pStyle w:val="Compact"/>
              <w:jc w:val="right"/>
            </w:pPr>
            <w:r>
              <w:t xml:space="preserve">Rang</w:t>
            </w:r>
          </w:p>
        </w:tc>
        <w:tc>
          <w:tcPr/>
          <w:p>
            <w:pPr>
              <w:pStyle w:val="Compact"/>
            </w:pPr>
            <w:r>
              <w:t xml:space="preserve">Semaine</w:t>
            </w:r>
          </w:p>
        </w:tc>
        <w:tc>
          <w:tcPr/>
          <w:p>
            <w:pPr>
              <w:pStyle w:val="Compact"/>
              <w:jc w:val="right"/>
            </w:pPr>
            <w:r>
              <w:t xml:space="preserve">IVC</w:t>
            </w:r>
          </w:p>
        </w:tc>
        <w:tc>
          <w:tcPr/>
          <w:p>
            <w:pPr>
              <w:pStyle w:val="Compact"/>
              <w:jc w:val="right"/>
            </w:pPr>
            <w:r>
              <w:t xml:space="preserve">BGP_risk</w:t>
            </w:r>
          </w:p>
        </w:tc>
        <w:tc>
          <w:tcPr/>
          <w:p>
            <w:pPr>
              <w:pStyle w:val="Compact"/>
              <w:jc w:val="right"/>
            </w:pPr>
            <w:r>
              <w:t xml:space="preserve">Email_threat</w:t>
            </w:r>
          </w:p>
        </w:tc>
        <w:tc>
          <w:tcPr/>
          <w:p>
            <w:pPr>
              <w:pStyle w:val="Compact"/>
              <w:jc w:val="right"/>
            </w:pPr>
            <w:r>
              <w:t xml:space="preserve">Proto_weakness</w:t>
            </w:r>
          </w:p>
        </w:tc>
        <w:tc>
          <w:tcPr/>
          <w:p>
            <w:pPr>
              <w:pStyle w:val="Compact"/>
              <w:jc w:val="right"/>
            </w:pPr>
            <w:r>
              <w:t xml:space="preserve">Net_attack</w:t>
            </w:r>
          </w:p>
        </w:tc>
      </w:tr>
      <w:tr>
        <w:tc>
          <w:tcPr/>
          <w:p>
            <w:pPr>
              <w:pStyle w:val="Compact"/>
              <w:jc w:val="right"/>
            </w:pPr>
            <w:r>
              <w:t xml:space="preserve">1</w:t>
            </w:r>
          </w:p>
        </w:tc>
        <w:tc>
          <w:tcPr/>
          <w:p>
            <w:pPr>
              <w:pStyle w:val="Compact"/>
            </w:pPr>
            <w:r>
              <w:t xml:space="preserve">2026-05-18</w:t>
            </w:r>
          </w:p>
        </w:tc>
        <w:tc>
          <w:tcPr/>
          <w:p>
            <w:pPr>
              <w:pStyle w:val="Compact"/>
              <w:jc w:val="right"/>
            </w:pPr>
            <w:r>
              <w:t xml:space="preserve">71.0</w:t>
            </w:r>
          </w:p>
        </w:tc>
        <w:tc>
          <w:tcPr/>
          <w:p>
            <w:pPr>
              <w:pStyle w:val="Compact"/>
              <w:jc w:val="right"/>
            </w:pPr>
            <w:r>
              <w:t xml:space="preserve">0.82</w:t>
            </w:r>
          </w:p>
        </w:tc>
        <w:tc>
          <w:tcPr/>
          <w:p>
            <w:pPr>
              <w:pStyle w:val="Compact"/>
              <w:jc w:val="right"/>
            </w:pPr>
            <w:r>
              <w:t xml:space="preserve">0.91</w:t>
            </w:r>
          </w:p>
        </w:tc>
        <w:tc>
          <w:tcPr/>
          <w:p>
            <w:pPr>
              <w:pStyle w:val="Compact"/>
              <w:jc w:val="right"/>
            </w:pPr>
            <w:r>
              <w:t xml:space="preserve">0.45</w:t>
            </w:r>
          </w:p>
        </w:tc>
        <w:tc>
          <w:tcPr/>
          <w:p>
            <w:pPr>
              <w:pStyle w:val="Compact"/>
              <w:jc w:val="right"/>
            </w:pPr>
            <w:r>
              <w:t xml:space="preserve">0.78</w:t>
            </w:r>
          </w:p>
        </w:tc>
      </w:tr>
      <w:tr>
        <w:tc>
          <w:tcPr/>
          <w:p>
            <w:pPr>
              <w:pStyle w:val="Compact"/>
              <w:jc w:val="right"/>
            </w:pPr>
            <w:r>
              <w:t xml:space="preserve">2</w:t>
            </w:r>
          </w:p>
        </w:tc>
        <w:tc>
          <w:tcPr/>
          <w:p>
            <w:pPr>
              <w:pStyle w:val="Compact"/>
            </w:pPr>
            <w:r>
              <w:t xml:space="preserve">2026-05-25</w:t>
            </w:r>
          </w:p>
        </w:tc>
        <w:tc>
          <w:tcPr/>
          <w:p>
            <w:pPr>
              <w:pStyle w:val="Compact"/>
              <w:jc w:val="right"/>
            </w:pPr>
            <w:r>
              <w:t xml:space="preserve">65.3</w:t>
            </w:r>
          </w:p>
        </w:tc>
        <w:tc>
          <w:tcPr/>
          <w:p>
            <w:pPr>
              <w:pStyle w:val="Compact"/>
              <w:jc w:val="right"/>
            </w:pPr>
            <w:r>
              <w:t xml:space="preserve">0.79</w:t>
            </w:r>
          </w:p>
        </w:tc>
        <w:tc>
          <w:tcPr/>
          <w:p>
            <w:pPr>
              <w:pStyle w:val="Compact"/>
              <w:jc w:val="right"/>
            </w:pPr>
            <w:r>
              <w:t xml:space="preserve">0.85</w:t>
            </w:r>
          </w:p>
        </w:tc>
        <w:tc>
          <w:tcPr/>
          <w:p>
            <w:pPr>
              <w:pStyle w:val="Compact"/>
              <w:jc w:val="right"/>
            </w:pPr>
            <w:r>
              <w:t xml:space="preserve">0.44</w:t>
            </w:r>
          </w:p>
        </w:tc>
        <w:tc>
          <w:tcPr/>
          <w:p>
            <w:pPr>
              <w:pStyle w:val="Compact"/>
              <w:jc w:val="right"/>
            </w:pPr>
            <w:r>
              <w:t xml:space="preserve">0.62</w:t>
            </w:r>
          </w:p>
        </w:tc>
      </w:tr>
      <w:tr>
        <w:tc>
          <w:tcPr/>
          <w:p>
            <w:pPr>
              <w:pStyle w:val="Compact"/>
              <w:jc w:val="right"/>
            </w:pPr>
            <w:r>
              <w:t xml:space="preserve">3</w:t>
            </w:r>
          </w:p>
        </w:tc>
        <w:tc>
          <w:tcPr/>
          <w:p>
            <w:pPr>
              <w:pStyle w:val="Compact"/>
            </w:pPr>
            <w:r>
              <w:t xml:space="preserve">2026-04-27</w:t>
            </w:r>
          </w:p>
        </w:tc>
        <w:tc>
          <w:tcPr/>
          <w:p>
            <w:pPr>
              <w:pStyle w:val="Compact"/>
              <w:jc w:val="right"/>
            </w:pPr>
            <w:r>
              <w:t xml:space="preserve">61.1</w:t>
            </w:r>
          </w:p>
        </w:tc>
        <w:tc>
          <w:tcPr/>
          <w:p>
            <w:pPr>
              <w:pStyle w:val="Compact"/>
              <w:jc w:val="right"/>
            </w:pPr>
            <w:r>
              <w:t xml:space="preserve">0.71</w:t>
            </w:r>
          </w:p>
        </w:tc>
        <w:tc>
          <w:tcPr/>
          <w:p>
            <w:pPr>
              <w:pStyle w:val="Compact"/>
              <w:jc w:val="right"/>
            </w:pPr>
            <w:r>
              <w:t xml:space="preserve">0.78</w:t>
            </w:r>
          </w:p>
        </w:tc>
        <w:tc>
          <w:tcPr/>
          <w:p>
            <w:pPr>
              <w:pStyle w:val="Compact"/>
              <w:jc w:val="right"/>
            </w:pPr>
            <w:r>
              <w:t xml:space="preserve">0.43</w:t>
            </w:r>
          </w:p>
        </w:tc>
        <w:tc>
          <w:tcPr/>
          <w:p>
            <w:pPr>
              <w:pStyle w:val="Compact"/>
              <w:jc w:val="right"/>
            </w:pPr>
            <w:r>
              <w:t xml:space="preserve">0.58</w:t>
            </w:r>
          </w:p>
        </w:tc>
      </w:tr>
      <w:tr>
        <w:tc>
          <w:tcPr/>
          <w:p>
            <w:pPr>
              <w:pStyle w:val="Compact"/>
              <w:jc w:val="right"/>
            </w:pPr>
            <w:r>
              <w:t xml:space="preserve">4</w:t>
            </w:r>
          </w:p>
        </w:tc>
        <w:tc>
          <w:tcPr/>
          <w:p>
            <w:pPr>
              <w:pStyle w:val="Compact"/>
            </w:pPr>
            <w:r>
              <w:t xml:space="preserve">2026-06-02</w:t>
            </w:r>
          </w:p>
        </w:tc>
        <w:tc>
          <w:tcPr/>
          <w:p>
            <w:pPr>
              <w:pStyle w:val="Compact"/>
              <w:jc w:val="right"/>
            </w:pPr>
            <w:r>
              <w:t xml:space="preserve">58.7</w:t>
            </w:r>
          </w:p>
        </w:tc>
        <w:tc>
          <w:tcPr/>
          <w:p>
            <w:pPr>
              <w:pStyle w:val="Compact"/>
              <w:jc w:val="right"/>
            </w:pPr>
            <w:r>
              <w:t xml:space="preserve">0.68</w:t>
            </w:r>
          </w:p>
        </w:tc>
        <w:tc>
          <w:tcPr/>
          <w:p>
            <w:pPr>
              <w:pStyle w:val="Compact"/>
              <w:jc w:val="right"/>
            </w:pPr>
            <w:r>
              <w:t xml:space="preserve">0.74</w:t>
            </w:r>
          </w:p>
        </w:tc>
        <w:tc>
          <w:tcPr/>
          <w:p>
            <w:pPr>
              <w:pStyle w:val="Compact"/>
              <w:jc w:val="right"/>
            </w:pPr>
            <w:r>
              <w:t xml:space="preserve">0.46</w:t>
            </w:r>
          </w:p>
        </w:tc>
        <w:tc>
          <w:tcPr/>
          <w:p>
            <w:pPr>
              <w:pStyle w:val="Compact"/>
              <w:jc w:val="right"/>
            </w:pPr>
            <w:r>
              <w:t xml:space="preserve">0.51</w:t>
            </w:r>
          </w:p>
        </w:tc>
      </w:tr>
      <w:tr>
        <w:tc>
          <w:tcPr/>
          <w:p>
            <w:pPr>
              <w:pStyle w:val="Compact"/>
              <w:jc w:val="right"/>
            </w:pPr>
            <w:r>
              <w:t xml:space="preserve">5</w:t>
            </w:r>
          </w:p>
        </w:tc>
        <w:tc>
          <w:tcPr/>
          <w:p>
            <w:pPr>
              <w:pStyle w:val="Compact"/>
            </w:pPr>
            <w:r>
              <w:t xml:space="preserve">2026-04-13</w:t>
            </w:r>
          </w:p>
        </w:tc>
        <w:tc>
          <w:tcPr/>
          <w:p>
            <w:pPr>
              <w:pStyle w:val="Compact"/>
              <w:jc w:val="right"/>
            </w:pPr>
            <w:r>
              <w:t xml:space="preserve">54.2</w:t>
            </w:r>
          </w:p>
        </w:tc>
        <w:tc>
          <w:tcPr/>
          <w:p>
            <w:pPr>
              <w:pStyle w:val="Compact"/>
              <w:jc w:val="right"/>
            </w:pPr>
            <w:r>
              <w:t xml:space="preserve">0.62</w:t>
            </w:r>
          </w:p>
        </w:tc>
        <w:tc>
          <w:tcPr/>
          <w:p>
            <w:pPr>
              <w:pStyle w:val="Compact"/>
              <w:jc w:val="right"/>
            </w:pPr>
            <w:r>
              <w:t xml:space="preserve">0.69</w:t>
            </w:r>
          </w:p>
        </w:tc>
        <w:tc>
          <w:tcPr/>
          <w:p>
            <w:pPr>
              <w:pStyle w:val="Compact"/>
              <w:jc w:val="right"/>
            </w:pPr>
            <w:r>
              <w:t xml:space="preserve">0.44</w:t>
            </w:r>
          </w:p>
        </w:tc>
        <w:tc>
          <w:tcPr/>
          <w:p>
            <w:pPr>
              <w:pStyle w:val="Compact"/>
              <w:jc w:val="right"/>
            </w:pPr>
            <w:r>
              <w:t xml:space="preserve">0.47</w:t>
            </w:r>
          </w:p>
        </w:tc>
      </w:tr>
    </w:tbl>
    <w:bookmarkEnd w:id="47"/>
    <w:bookmarkStart w:id="48" w:name="implémentation-python-2"/>
    <w:p>
      <w:pPr>
        <w:pStyle w:val="Heading3"/>
      </w:pPr>
      <w:r>
        <w:t xml:space="preserve">4.7 Implémentation Python</w:t>
      </w:r>
    </w:p>
    <w:p>
      <w:pPr>
        <w:pStyle w:val="FirstParagraph"/>
      </w:pPr>
      <w:r>
        <w:t xml:space="preserve">Le calcul est effectué dans</w:t>
      </w:r>
      <w:r>
        <w:t xml:space="preserve"> </w:t>
      </w:r>
      <w:r>
        <w:rPr>
          <w:rStyle w:val="VerbatimChar"/>
        </w:rPr>
        <w:t xml:space="preserve">phase_H_correlations.py</w:t>
      </w:r>
      <w:r>
        <w:t xml:space="preserve"> </w:t>
      </w:r>
      <w:r>
        <w:t xml:space="preserve">(lignes 303-340) :</w:t>
      </w:r>
    </w:p>
    <w:p>
      <w:pPr>
        <w:pStyle w:val="SourceCode"/>
      </w:pPr>
      <w:r>
        <w:rPr>
          <w:rStyle w:val="KeywordTok"/>
        </w:rPr>
        <w:t xml:space="preserve">def</w:t>
      </w:r>
      <w:r>
        <w:rPr>
          <w:rStyle w:val="NormalTok"/>
        </w:rPr>
        <w:t xml:space="preserve"> norm01(s):</w:t>
      </w:r>
      <w:r>
        <w:br/>
      </w:r>
      <w:r>
        <w:rPr>
          <w:rStyle w:val="NormalTok"/>
        </w:rPr>
        <w:t xml:space="preserve">    mn, mx </w:t>
      </w:r>
      <w:r>
        <w:rPr>
          <w:rStyle w:val="OperatorTok"/>
        </w:rPr>
        <w:t xml:space="preserve">=</w:t>
      </w:r>
      <w:r>
        <w:rPr>
          <w:rStyle w:val="NormalTok"/>
        </w:rPr>
        <w:t xml:space="preserve"> s.</w:t>
      </w:r>
      <w:r>
        <w:rPr>
          <w:rStyle w:val="BuiltInTok"/>
        </w:rPr>
        <w:t xml:space="preserve">min</w:t>
      </w:r>
      <w:r>
        <w:rPr>
          <w:rStyle w:val="NormalTok"/>
        </w:rPr>
        <w:t xml:space="preserve">(), s.</w:t>
      </w:r>
      <w:r>
        <w:rPr>
          <w:rStyle w:val="BuiltInTok"/>
        </w:rPr>
        <w:t xml:space="preserve">max</w:t>
      </w:r>
      <w:r>
        <w:rPr>
          <w:rStyle w:val="NormalTok"/>
        </w:rPr>
        <w:t xml:space="preserve">()</w:t>
      </w:r>
      <w:r>
        <w:br/>
      </w:r>
      <w:r>
        <w:rPr>
          <w:rStyle w:val="NormalTok"/>
        </w:rPr>
        <w:t xml:space="preserve">    </w:t>
      </w:r>
      <w:r>
        <w:rPr>
          <w:rStyle w:val="ControlFlowTok"/>
        </w:rPr>
        <w:t xml:space="preserve">return</w:t>
      </w:r>
      <w:r>
        <w:rPr>
          <w:rStyle w:val="NormalTok"/>
        </w:rPr>
        <w:t xml:space="preserve"> (s </w:t>
      </w:r>
      <w:r>
        <w:rPr>
          <w:rStyle w:val="OperatorTok"/>
        </w:rPr>
        <w:t xml:space="preserve">-</w:t>
      </w:r>
      <w:r>
        <w:rPr>
          <w:rStyle w:val="NormalTok"/>
        </w:rPr>
        <w:t xml:space="preserve"> mn) </w:t>
      </w:r>
      <w:r>
        <w:rPr>
          <w:rStyle w:val="OperatorTok"/>
        </w:rPr>
        <w:t xml:space="preserve">/</w:t>
      </w:r>
      <w:r>
        <w:rPr>
          <w:rStyle w:val="NormalTok"/>
        </w:rPr>
        <w:t xml:space="preserve"> (mx </w:t>
      </w:r>
      <w:r>
        <w:rPr>
          <w:rStyle w:val="OperatorTok"/>
        </w:rPr>
        <w:t xml:space="preserve">-</w:t>
      </w:r>
      <w:r>
        <w:rPr>
          <w:rStyle w:val="NormalTok"/>
        </w:rPr>
        <w:t xml:space="preserve"> mn) </w:t>
      </w:r>
      <w:r>
        <w:rPr>
          <w:rStyle w:val="ControlFlowTok"/>
        </w:rPr>
        <w:t xml:space="preserve">if</w:t>
      </w:r>
      <w:r>
        <w:rPr>
          <w:rStyle w:val="NormalTok"/>
        </w:rPr>
        <w:t xml:space="preserve"> mx </w:t>
      </w:r>
      <w:r>
        <w:rPr>
          <w:rStyle w:val="OperatorTok"/>
        </w:rPr>
        <w:t xml:space="preserve">&gt;</w:t>
      </w:r>
      <w:r>
        <w:rPr>
          <w:rStyle w:val="NormalTok"/>
        </w:rPr>
        <w:t xml:space="preserve"> mn </w:t>
      </w:r>
      <w:r>
        <w:rPr>
          <w:rStyle w:val="ControlFlowTok"/>
        </w:rPr>
        <w:t xml:space="preserve">else</w:t>
      </w:r>
      <w:r>
        <w:rPr>
          <w:rStyle w:val="NormalTok"/>
        </w:rPr>
        <w:t xml:space="preserve"> pd.Series(</w:t>
      </w:r>
      <w:r>
        <w:rPr>
          <w:rStyle w:val="DecValTok"/>
        </w:rPr>
        <w:t xml:space="preserve">0</w:t>
      </w:r>
      <w:r>
        <w:rPr>
          <w:rStyle w:val="NormalTok"/>
        </w:rPr>
        <w:t xml:space="preserve">, index</w:t>
      </w:r>
      <w:r>
        <w:rPr>
          <w:rStyle w:val="OperatorTok"/>
        </w:rPr>
        <w:t xml:space="preserve">=</w:t>
      </w:r>
      <w:r>
        <w:rPr>
          <w:rStyle w:val="NormalTok"/>
        </w:rPr>
        <w:t xml:space="preserve">s.index)</w:t>
      </w:r>
      <w:r>
        <w:br/>
      </w:r>
      <w:r>
        <w:br/>
      </w:r>
      <w:r>
        <w:rPr>
          <w:rStyle w:val="CommentTok"/>
        </w:rPr>
        <w:t xml:space="preserve"># Composante BGP</w:t>
      </w:r>
      <w:r>
        <w:br/>
      </w:r>
      <w:r>
        <w:rPr>
          <w:rStyle w:val="NormalTok"/>
        </w:rPr>
        <w:t xml:space="preserve">master[</w:t>
      </w:r>
      <w:r>
        <w:rPr>
          <w:rStyle w:val="StringTok"/>
        </w:rPr>
        <w:t xml:space="preserve">"bgp_risk"</w:t>
      </w:r>
      <w:r>
        <w:rPr>
          <w:rStyle w:val="NormalTok"/>
        </w:rPr>
        <w:t xml:space="preserve">] </w:t>
      </w:r>
      <w:r>
        <w:rPr>
          <w:rStyle w:val="OperatorTok"/>
        </w:rPr>
        <w:t xml:space="preserve">=</w:t>
      </w:r>
      <w:r>
        <w:rPr>
          <w:rStyle w:val="NormalTok"/>
        </w:rPr>
        <w:t xml:space="preserve"> norm01(master[</w:t>
      </w:r>
      <w:r>
        <w:rPr>
          <w:rStyle w:val="StringTok"/>
        </w:rPr>
        <w:t xml:space="preserve">"bgp_hij_count"</w:t>
      </w:r>
      <w:r>
        <w:rPr>
          <w:rStyle w:val="NormalTok"/>
        </w:rPr>
        <w:t xml:space="preserve">] </w:t>
      </w:r>
      <w:r>
        <w:rPr>
          <w:rStyle w:val="OperatorTok"/>
        </w:rPr>
        <w:t xml:space="preserve">*</w:t>
      </w:r>
      <w:r>
        <w:rPr>
          <w:rStyle w:val="NormalTok"/>
        </w:rPr>
        <w:t xml:space="preserve"> master[</w:t>
      </w:r>
      <w:r>
        <w:rPr>
          <w:rStyle w:val="StringTok"/>
        </w:rPr>
        <w:t xml:space="preserve">"bgp_hij_conf"</w:t>
      </w:r>
      <w:r>
        <w:rPr>
          <w:rStyle w:val="NormalTok"/>
        </w:rPr>
        <w:t xml:space="preserve">])</w:t>
      </w:r>
      <w:r>
        <w:br/>
      </w:r>
      <w:r>
        <w:br/>
      </w:r>
      <w:r>
        <w:rPr>
          <w:rStyle w:val="CommentTok"/>
        </w:rPr>
        <w:t xml:space="preserve"># Composante Email</w:t>
      </w:r>
      <w:r>
        <w:br/>
      </w:r>
      <w:r>
        <w:rPr>
          <w:rStyle w:val="NormalTok"/>
        </w:rPr>
        <w:t xml:space="preserve">master[</w:t>
      </w:r>
      <w:r>
        <w:rPr>
          <w:rStyle w:val="StringTok"/>
        </w:rPr>
        <w:t xml:space="preserve">"email_threat"</w:t>
      </w:r>
      <w:r>
        <w:rPr>
          <w:rStyle w:val="NormalTok"/>
        </w:rPr>
        <w:t xml:space="preserve">] </w:t>
      </w:r>
      <w:r>
        <w:rPr>
          <w:rStyle w:val="OperatorTok"/>
        </w:rPr>
        <w:t xml:space="preserve">=</w:t>
      </w:r>
      <w:r>
        <w:rPr>
          <w:rStyle w:val="NormalTok"/>
        </w:rPr>
        <w:t xml:space="preserve"> norm01(</w:t>
      </w:r>
      <w:r>
        <w:br/>
      </w:r>
      <w:r>
        <w:rPr>
          <w:rStyle w:val="NormalTok"/>
        </w:rPr>
        <w:t xml:space="preserve">    master[</w:t>
      </w:r>
      <w:r>
        <w:rPr>
          <w:rStyle w:val="StringTok"/>
        </w:rPr>
        <w:t xml:space="preserve">"spoof"</w:t>
      </w:r>
      <w:r>
        <w:rPr>
          <w:rStyle w:val="NormalTok"/>
        </w:rPr>
        <w:t xml:space="preserve">] </w:t>
      </w:r>
      <w:r>
        <w:rPr>
          <w:rStyle w:val="OperatorTok"/>
        </w:rPr>
        <w:t xml:space="preserve">+</w:t>
      </w:r>
      <w:r>
        <w:rPr>
          <w:rStyle w:val="NormalTok"/>
        </w:rPr>
        <w:t xml:space="preserve"> master[</w:t>
      </w:r>
      <w:r>
        <w:rPr>
          <w:rStyle w:val="StringTok"/>
        </w:rPr>
        <w:t xml:space="preserve">"malicious"</w:t>
      </w:r>
      <w:r>
        <w:rPr>
          <w:rStyle w:val="NormalTok"/>
        </w:rPr>
        <w:t xml:space="preserve">] </w:t>
      </w:r>
      <w:r>
        <w:rPr>
          <w:rStyle w:val="OperatorTok"/>
        </w:rPr>
        <w:t xml:space="preserve">+</w:t>
      </w:r>
      <w:r>
        <w:rPr>
          <w:rStyle w:val="NormalTok"/>
        </w:rPr>
        <w:t xml:space="preserve"> master[</w:t>
      </w:r>
      <w:r>
        <w:rPr>
          <w:rStyle w:val="StringTok"/>
        </w:rPr>
        <w:t xml:space="preserve">"dmarc_fail"</w:t>
      </w:r>
      <w:r>
        <w:rPr>
          <w:rStyle w:val="NormalTok"/>
        </w:rPr>
        <w:t xml:space="preserve">]</w:t>
      </w:r>
      <w:r>
        <w:br/>
      </w:r>
      <w:r>
        <w:rPr>
          <w:rStyle w:val="NormalTok"/>
        </w:rPr>
        <w:t xml:space="preserve">)</w:t>
      </w:r>
      <w:r>
        <w:br/>
      </w:r>
      <w:r>
        <w:br/>
      </w:r>
      <w:r>
        <w:rPr>
          <w:rStyle w:val="CommentTok"/>
        </w:rPr>
        <w:t xml:space="preserve"># Composante Protocoles (inversée)</w:t>
      </w:r>
      <w:r>
        <w:br/>
      </w:r>
      <w:r>
        <w:rPr>
          <w:rStyle w:val="NormalTok"/>
        </w:rPr>
        <w:t xml:space="preserve">master[</w:t>
      </w:r>
      <w:r>
        <w:rPr>
          <w:rStyle w:val="StringTok"/>
        </w:rPr>
        <w:t xml:space="preserve">"proto_weakness"</w:t>
      </w:r>
      <w:r>
        <w:rPr>
          <w:rStyle w:val="NormalTok"/>
        </w:rPr>
        <w:t xml:space="preserve">] </w:t>
      </w:r>
      <w:r>
        <w:rPr>
          <w:rStyle w:val="OperatorTok"/>
        </w:rPr>
        <w:t xml:space="preserve">=</w:t>
      </w:r>
      <w:r>
        <w:rPr>
          <w:rStyle w:val="NormalTok"/>
        </w:rPr>
        <w:t xml:space="preserve"> norm01(</w:t>
      </w:r>
      <w:r>
        <w:rPr>
          <w:rStyle w:val="DecValTok"/>
        </w:rPr>
        <w:t xml:space="preserve">100</w:t>
      </w:r>
      <w:r>
        <w:rPr>
          <w:rStyle w:val="NormalTok"/>
        </w:rPr>
        <w:t xml:space="preserve"> </w:t>
      </w:r>
      <w:r>
        <w:rPr>
          <w:rStyle w:val="OperatorTok"/>
        </w:rPr>
        <w:t xml:space="preserve">-</w:t>
      </w:r>
      <w:r>
        <w:rPr>
          <w:rStyle w:val="NormalTok"/>
        </w:rPr>
        <w:t xml:space="preserve"> master[</w:t>
      </w:r>
      <w:r>
        <w:rPr>
          <w:rStyle w:val="StringTok"/>
        </w:rPr>
        <w:t xml:space="preserve">"IMP"</w:t>
      </w:r>
      <w:r>
        <w:rPr>
          <w:rStyle w:val="NormalTok"/>
        </w:rPr>
        <w:t xml:space="preserve">])</w:t>
      </w:r>
      <w:r>
        <w:br/>
      </w:r>
      <w:r>
        <w:br/>
      </w:r>
      <w:r>
        <w:rPr>
          <w:rStyle w:val="CommentTok"/>
        </w:rPr>
        <w:t xml:space="preserve"># Composante Attaques réseau</w:t>
      </w:r>
      <w:r>
        <w:br/>
      </w:r>
      <w:r>
        <w:rPr>
          <w:rStyle w:val="NormalTok"/>
        </w:rPr>
        <w:t xml:space="preserve">master[</w:t>
      </w:r>
      <w:r>
        <w:rPr>
          <w:rStyle w:val="StringTok"/>
        </w:rPr>
        <w:t xml:space="preserve">"net_attack"</w:t>
      </w:r>
      <w:r>
        <w:rPr>
          <w:rStyle w:val="NormalTok"/>
        </w:rPr>
        <w:t xml:space="preserve">] </w:t>
      </w:r>
      <w:r>
        <w:rPr>
          <w:rStyle w:val="OperatorTok"/>
        </w:rPr>
        <w:t xml:space="preserve">=</w:t>
      </w:r>
      <w:r>
        <w:rPr>
          <w:rStyle w:val="NormalTok"/>
        </w:rPr>
        <w:t xml:space="preserve"> norm01(</w:t>
      </w:r>
      <w:r>
        <w:br/>
      </w:r>
      <w:r>
        <w:rPr>
          <w:rStyle w:val="NormalTok"/>
        </w:rPr>
        <w:t xml:space="preserve">    norm01(master[</w:t>
      </w:r>
      <w:r>
        <w:rPr>
          <w:rStyle w:val="StringTok"/>
        </w:rPr>
        <w:t xml:space="preserve">"l3_high_vol"</w:t>
      </w:r>
      <w:r>
        <w:rPr>
          <w:rStyle w:val="NormalTok"/>
        </w:rPr>
        <w:t xml:space="preserve">]) </w:t>
      </w:r>
      <w:r>
        <w:rPr>
          <w:rStyle w:val="OperatorTok"/>
        </w:rPr>
        <w:t xml:space="preserve">+</w:t>
      </w:r>
      <w:r>
        <w:rPr>
          <w:rStyle w:val="NormalTok"/>
        </w:rPr>
        <w:t xml:space="preserve"> norm01(master[</w:t>
      </w:r>
      <w:r>
        <w:rPr>
          <w:rStyle w:val="StringTok"/>
        </w:rPr>
        <w:t xml:space="preserve">"l7_internet_telecom"</w:t>
      </w:r>
      <w:r>
        <w:rPr>
          <w:rStyle w:val="NormalTok"/>
        </w:rPr>
        <w:t xml:space="preserve">])</w:t>
      </w:r>
      <w:r>
        <w:br/>
      </w:r>
      <w:r>
        <w:rPr>
          <w:rStyle w:val="NormalTok"/>
        </w:rPr>
        <w:t xml:space="preserve">)</w:t>
      </w:r>
      <w:r>
        <w:br/>
      </w:r>
      <w:r>
        <w:br/>
      </w:r>
      <w:r>
        <w:rPr>
          <w:rStyle w:val="CommentTok"/>
        </w:rPr>
        <w:t xml:space="preserve"># Assemblage IVC</w:t>
      </w:r>
      <w:r>
        <w:br/>
      </w:r>
      <w:r>
        <w:rPr>
          <w:rStyle w:val="NormalTok"/>
        </w:rPr>
        <w:t xml:space="preserve">master[</w:t>
      </w:r>
      <w:r>
        <w:rPr>
          <w:rStyle w:val="StringTok"/>
        </w:rPr>
        <w:t xml:space="preserve">"IVC"</w:t>
      </w:r>
      <w:r>
        <w:rPr>
          <w:rStyle w:val="NormalTok"/>
        </w:rPr>
        <w:t xml:space="preserve">] </w:t>
      </w:r>
      <w:r>
        <w:rPr>
          <w:rStyle w:val="OperatorTok"/>
        </w:rPr>
        <w:t xml:space="preserve">=</w:t>
      </w:r>
      <w:r>
        <w:rPr>
          <w:rStyle w:val="NormalTok"/>
        </w:rPr>
        <w:t xml:space="preserve"> (</w:t>
      </w:r>
      <w:r>
        <w:br/>
      </w:r>
      <w:r>
        <w:rPr>
          <w:rStyle w:val="NormalTok"/>
        </w:rPr>
        <w:t xml:space="preserve">    master[</w:t>
      </w:r>
      <w:r>
        <w:rPr>
          <w:rStyle w:val="StringTok"/>
        </w:rPr>
        <w:t xml:space="preserve">"bgp_risk"</w:t>
      </w:r>
      <w:r>
        <w:rPr>
          <w:rStyle w:val="NormalTok"/>
        </w:rPr>
        <w:t xml:space="preserve">]       </w:t>
      </w:r>
      <w:r>
        <w:rPr>
          <w:rStyle w:val="OperatorTok"/>
        </w:rPr>
        <w:t xml:space="preserve">*</w:t>
      </w:r>
      <w:r>
        <w:rPr>
          <w:rStyle w:val="NormalTok"/>
        </w:rPr>
        <w:t xml:space="preserve"> </w:t>
      </w:r>
      <w:r>
        <w:rPr>
          <w:rStyle w:val="FloatTok"/>
        </w:rPr>
        <w:t xml:space="preserve">0.30</w:t>
      </w:r>
      <w:r>
        <w:rPr>
          <w:rStyle w:val="NormalTok"/>
        </w:rPr>
        <w:t xml:space="preserve"> </w:t>
      </w:r>
      <w:r>
        <w:rPr>
          <w:rStyle w:val="OperatorTok"/>
        </w:rPr>
        <w:t xml:space="preserve">+</w:t>
      </w:r>
      <w:r>
        <w:br/>
      </w:r>
      <w:r>
        <w:rPr>
          <w:rStyle w:val="NormalTok"/>
        </w:rPr>
        <w:t xml:space="preserve">    master[</w:t>
      </w:r>
      <w:r>
        <w:rPr>
          <w:rStyle w:val="StringTok"/>
        </w:rPr>
        <w:t xml:space="preserve">"email_threat"</w:t>
      </w:r>
      <w:r>
        <w:rPr>
          <w:rStyle w:val="NormalTok"/>
        </w:rPr>
        <w:t xml:space="preserve">]   </w:t>
      </w:r>
      <w:r>
        <w:rPr>
          <w:rStyle w:val="OperatorTok"/>
        </w:rPr>
        <w:t xml:space="preserve">*</w:t>
      </w:r>
      <w:r>
        <w:rPr>
          <w:rStyle w:val="NormalTok"/>
        </w:rPr>
        <w:t xml:space="preserve"> </w:t>
      </w:r>
      <w:r>
        <w:rPr>
          <w:rStyle w:val="FloatTok"/>
        </w:rPr>
        <w:t xml:space="preserve">0.30</w:t>
      </w:r>
      <w:r>
        <w:rPr>
          <w:rStyle w:val="NormalTok"/>
        </w:rPr>
        <w:t xml:space="preserve"> </w:t>
      </w:r>
      <w:r>
        <w:rPr>
          <w:rStyle w:val="OperatorTok"/>
        </w:rPr>
        <w:t xml:space="preserve">+</w:t>
      </w:r>
      <w:r>
        <w:br/>
      </w:r>
      <w:r>
        <w:rPr>
          <w:rStyle w:val="NormalTok"/>
        </w:rPr>
        <w:t xml:space="preserve">    master[</w:t>
      </w:r>
      <w:r>
        <w:rPr>
          <w:rStyle w:val="StringTok"/>
        </w:rPr>
        <w:t xml:space="preserve">"proto_weakness"</w:t>
      </w:r>
      <w:r>
        <w:rPr>
          <w:rStyle w:val="NormalTok"/>
        </w:rPr>
        <w:t xml:space="preserve">] </w:t>
      </w:r>
      <w:r>
        <w:rPr>
          <w:rStyle w:val="OperatorTok"/>
        </w:rPr>
        <w:t xml:space="preserve">*</w:t>
      </w:r>
      <w:r>
        <w:rPr>
          <w:rStyle w:val="NormalTok"/>
        </w:rPr>
        <w:t xml:space="preserve"> </w:t>
      </w:r>
      <w:r>
        <w:rPr>
          <w:rStyle w:val="FloatTok"/>
        </w:rPr>
        <w:t xml:space="preserve">0.20</w:t>
      </w:r>
      <w:r>
        <w:rPr>
          <w:rStyle w:val="NormalTok"/>
        </w:rPr>
        <w:t xml:space="preserve"> </w:t>
      </w:r>
      <w:r>
        <w:rPr>
          <w:rStyle w:val="OperatorTok"/>
        </w:rPr>
        <w:t xml:space="preserve">+</w:t>
      </w:r>
      <w:r>
        <w:br/>
      </w:r>
      <w:r>
        <w:rPr>
          <w:rStyle w:val="NormalTok"/>
        </w:rPr>
        <w:t xml:space="preserve">    master[</w:t>
      </w:r>
      <w:r>
        <w:rPr>
          <w:rStyle w:val="StringTok"/>
        </w:rPr>
        <w:t xml:space="preserve">"net_attack"</w:t>
      </w:r>
      <w:r>
        <w:rPr>
          <w:rStyle w:val="NormalTok"/>
        </w:rPr>
        <w:t xml:space="preserve">]     </w:t>
      </w:r>
      <w:r>
        <w:rPr>
          <w:rStyle w:val="OperatorTok"/>
        </w:rPr>
        <w:t xml:space="preserve">*</w:t>
      </w:r>
      <w:r>
        <w:rPr>
          <w:rStyle w:val="NormalTok"/>
        </w:rPr>
        <w:t xml:space="preserve"> </w:t>
      </w:r>
      <w:r>
        <w:rPr>
          <w:rStyle w:val="FloatTok"/>
        </w:rPr>
        <w:t xml:space="preserve">0.20</w:t>
      </w:r>
      <w:r>
        <w:br/>
      </w:r>
      <w:r>
        <w:rPr>
          <w:rStyle w:val="NormalTok"/>
        </w:rPr>
        <w:t xml:space="preserve">) </w:t>
      </w:r>
      <w:r>
        <w:rPr>
          <w:rStyle w:val="OperatorTok"/>
        </w:rPr>
        <w:t xml:space="preserve">*</w:t>
      </w:r>
      <w:r>
        <w:rPr>
          <w:rStyle w:val="NormalTok"/>
        </w:rPr>
        <w:t xml:space="preserve"> </w:t>
      </w:r>
      <w:r>
        <w:rPr>
          <w:rStyle w:val="DecValTok"/>
        </w:rPr>
        <w:t xml:space="preserve">100</w:t>
      </w:r>
    </w:p>
    <w:bookmarkEnd w:id="48"/>
    <w:bookmarkStart w:id="49" w:name="validité-et-limites-2"/>
    <w:p>
      <w:pPr>
        <w:pStyle w:val="Heading3"/>
      </w:pPr>
      <w:r>
        <w:t xml:space="preserve">4.8 Validité et Limites</w:t>
      </w:r>
    </w:p>
    <w:p>
      <w:pPr>
        <w:pStyle w:val="FirstParagraph"/>
      </w:pPr>
      <w:r>
        <w:rPr>
          <w:b/>
          <w:bCs/>
        </w:rPr>
        <w:t xml:space="preserve">Points forts :</w:t>
      </w:r>
      <w:r>
        <w:t xml:space="preserve"> </w:t>
      </w:r>
      <w:r>
        <w:t xml:space="preserve">- L’IVC identifie correctement la semaine du 18 mai 2026 comme la plus critique, cohérent avec les six anomalies simultanées détectées indépendamment par quatre méthodes (Phase J)</w:t>
      </w:r>
      <w:r>
        <w:t xml:space="preserve"> </w:t>
      </w:r>
      <w:r>
        <w:t xml:space="preserve">- La tendance à la hausse (τ=+0.62) confirme la dégradation globale observée dans les analyses univariées</w:t>
      </w:r>
      <w:r>
        <w:t xml:space="preserve"> </w:t>
      </w:r>
      <w:r>
        <w:t xml:space="preserve">- La décomposition en quatre composantes permet d’identifier quelles dimensions contribuent à une semaine critique</w:t>
      </w:r>
    </w:p>
    <w:p>
      <w:pPr>
        <w:pStyle w:val="BodyText"/>
      </w:pPr>
      <w:r>
        <w:rPr>
          <w:b/>
          <w:bCs/>
        </w:rPr>
        <w:t xml:space="preserve">Limites :</w:t>
      </w:r>
      <w:r>
        <w:t xml:space="preserve"> </w:t>
      </w:r>
      <w:r>
        <w:t xml:space="preserve">- La</w:t>
      </w:r>
      <w:r>
        <w:t xml:space="preserve"> </w:t>
      </w:r>
      <w:r>
        <w:rPr>
          <w:b/>
          <w:bCs/>
        </w:rPr>
        <w:t xml:space="preserve">normalisation min-max est relative à la fenêtre temporelle</w:t>
      </w:r>
      <w:r>
        <w:t xml:space="preserve"> </w:t>
      </w:r>
      <w:r>
        <w:t xml:space="preserve">: si la période contient une valeur extrême, toutes les autres semaines sont relativisées par rapport à ce maximum. Un IVC de 71 sur une période de 13 semaines n’a pas la même signification absolue que 71 sur 53 semaines.</w:t>
      </w:r>
      <w:r>
        <w:t xml:space="preserve"> </w:t>
      </w:r>
      <w:r>
        <w:t xml:space="preserve">- La</w:t>
      </w:r>
      <w:r>
        <w:t xml:space="preserve"> </w:t>
      </w:r>
      <w:r>
        <w:rPr>
          <w:b/>
          <w:bCs/>
        </w:rPr>
        <w:t xml:space="preserve">fenêtre commune courte</w:t>
      </w:r>
      <w:r>
        <w:t xml:space="preserve"> </w:t>
      </w:r>
      <w:r>
        <w:t xml:space="preserve">(13-16 semaines pour certaines séries L7) réduit la fiabilité statistique de la normalisation</w:t>
      </w:r>
      <w:r>
        <w:t xml:space="preserve"> </w:t>
      </w:r>
      <w:r>
        <w:t xml:space="preserve">- Les</w:t>
      </w:r>
      <w:r>
        <w:t xml:space="preserve"> </w:t>
      </w:r>
      <w:r>
        <w:rPr>
          <w:b/>
          <w:bCs/>
        </w:rPr>
        <w:t xml:space="preserve">poids (0.30/0.30/0.20/0.20) sont fixés a priori</w:t>
      </w:r>
      <w:r>
        <w:t xml:space="preserve"> </w:t>
      </w:r>
      <w:r>
        <w:t xml:space="preserve">sans optimisation empirique. Une approche AHP (Analytic Hierarchy Process) ou une analyse factorielle permettrait de les dériver des données</w:t>
      </w:r>
      <w:r>
        <w:t xml:space="preserve"> </w:t>
      </w:r>
      <w:r>
        <w:t xml:space="preserve">- L’IVC ne capture pas les</w:t>
      </w:r>
      <w:r>
        <w:t xml:space="preserve"> </w:t>
      </w:r>
      <w:r>
        <w:rPr>
          <w:b/>
          <w:bCs/>
        </w:rPr>
        <w:t xml:space="preserve">menaces géographiquement concentrées</w:t>
      </w:r>
      <w:r>
        <w:t xml:space="preserve"> </w:t>
      </w:r>
      <w:r>
        <w:t xml:space="preserve">: une attaque massive affectant un seul continent peut avoir un score IVC modéré si elle reste absente des métriques mondiales agrégées</w:t>
      </w:r>
    </w:p>
    <w:p>
      <w:r>
        <w:pict>
          <v:rect style="width:0;height:1.5pt" o:hralign="center" o:hrstd="t" o:hr="t"/>
        </w:pict>
      </w:r>
    </w:p>
    <w:bookmarkEnd w:id="49"/>
    <w:bookmarkEnd w:id="50"/>
    <w:bookmarkStart w:id="53" w:name="relations-entre-les-indices"/>
    <w:p>
      <w:pPr>
        <w:pStyle w:val="Heading2"/>
      </w:pPr>
      <w:r>
        <w:t xml:space="preserve">5. Relations Entre les Indices</w:t>
      </w:r>
    </w:p>
    <w:p>
      <w:pPr>
        <w:pStyle w:val="FirstParagraph"/>
      </w:pPr>
      <w:r>
        <w:t xml:space="preserve">Les trois indices sont conçus pour être complémentaires et non redondants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ISE</w:t>
            </w:r>
          </w:p>
        </w:tc>
        <w:tc>
          <w:tcPr/>
          <w:p>
            <w:pPr>
              <w:pStyle w:val="Compact"/>
            </w:pPr>
            <w:r>
              <w:t xml:space="preserve">IMP</w:t>
            </w:r>
          </w:p>
        </w:tc>
        <w:tc>
          <w:tcPr/>
          <w:p>
            <w:pPr>
              <w:pStyle w:val="Compact"/>
            </w:pPr>
            <w:r>
              <w:t xml:space="preserve">IVC</w:t>
            </w:r>
          </w:p>
        </w:tc>
      </w:tr>
      <w:tr>
        <w:tc>
          <w:tcPr/>
          <w:p>
            <w:pPr>
              <w:pStyle w:val="Compact"/>
            </w:pPr>
            <w:r>
              <w:rPr>
                <w:b/>
                <w:bCs/>
              </w:rPr>
              <w:t xml:space="preserve">Axe temporel</w:t>
            </w:r>
          </w:p>
        </w:tc>
        <w:tc>
          <w:tcPr/>
          <w:p>
            <w:pPr>
              <w:pStyle w:val="Compact"/>
            </w:pPr>
            <w:r>
              <w:t xml:space="preserve">Hebdomadaire ✓</w:t>
            </w:r>
          </w:p>
        </w:tc>
        <w:tc>
          <w:tcPr/>
          <w:p>
            <w:pPr>
              <w:pStyle w:val="Compact"/>
            </w:pPr>
            <w:r>
              <w:t xml:space="preserve">Hebdomadaire ✓</w:t>
            </w:r>
          </w:p>
        </w:tc>
        <w:tc>
          <w:tcPr/>
          <w:p>
            <w:pPr>
              <w:pStyle w:val="Compact"/>
            </w:pPr>
            <w:r>
              <w:t xml:space="preserve">Hebdomadaire ✓</w:t>
            </w:r>
          </w:p>
        </w:tc>
      </w:tr>
      <w:tr>
        <w:tc>
          <w:tcPr/>
          <w:p>
            <w:pPr>
              <w:pStyle w:val="Compact"/>
            </w:pPr>
            <w:r>
              <w:rPr>
                <w:b/>
                <w:bCs/>
              </w:rPr>
              <w:t xml:space="preserve">Axe géographique</w:t>
            </w:r>
          </w:p>
        </w:tc>
        <w:tc>
          <w:tcPr/>
          <w:p>
            <w:pPr>
              <w:pStyle w:val="Compact"/>
            </w:pPr>
            <w:r>
              <w:t xml:space="preserve">Mondial uniquement</w:t>
            </w:r>
          </w:p>
        </w:tc>
        <w:tc>
          <w:tcPr/>
          <w:p>
            <w:pPr>
              <w:pStyle w:val="Compact"/>
            </w:pPr>
            <w:r>
              <w:t xml:space="preserve">Par pays ✓</w:t>
            </w:r>
          </w:p>
        </w:tc>
        <w:tc>
          <w:tcPr/>
          <w:p>
            <w:pPr>
              <w:pStyle w:val="Compact"/>
            </w:pPr>
            <w:r>
              <w:t xml:space="preserve">Mondial uniquement</w:t>
            </w:r>
          </w:p>
        </w:tc>
      </w:tr>
      <w:tr>
        <w:tc>
          <w:tcPr/>
          <w:p>
            <w:pPr>
              <w:pStyle w:val="Compact"/>
            </w:pPr>
            <w:r>
              <w:rPr>
                <w:b/>
                <w:bCs/>
              </w:rPr>
              <w:t xml:space="preserve">Mesure</w:t>
            </w:r>
          </w:p>
        </w:tc>
        <w:tc>
          <w:tcPr/>
          <w:p>
            <w:pPr>
              <w:pStyle w:val="Compact"/>
            </w:pPr>
            <w:r>
              <w:t xml:space="preserve">Sécurité email</w:t>
            </w:r>
          </w:p>
        </w:tc>
        <w:tc>
          <w:tcPr/>
          <w:p>
            <w:pPr>
              <w:pStyle w:val="Compact"/>
            </w:pPr>
            <w:r>
              <w:t xml:space="preserve">Maturité infrastructure</w:t>
            </w:r>
          </w:p>
        </w:tc>
        <w:tc>
          <w:tcPr/>
          <w:p>
            <w:pPr>
              <w:pStyle w:val="Compact"/>
            </w:pPr>
            <w:r>
              <w:t xml:space="preserve">Vulnérabilité globale</w:t>
            </w:r>
          </w:p>
        </w:tc>
      </w:tr>
      <w:tr>
        <w:tc>
          <w:tcPr/>
          <w:p>
            <w:pPr>
              <w:pStyle w:val="Compact"/>
            </w:pPr>
            <w:r>
              <w:rPr>
                <w:b/>
                <w:bCs/>
              </w:rPr>
              <w:t xml:space="preserve">Direction</w:t>
            </w:r>
          </w:p>
        </w:tc>
        <w:tc>
          <w:tcPr/>
          <w:p>
            <w:pPr>
              <w:pStyle w:val="Compact"/>
            </w:pPr>
            <w:r>
              <w:t xml:space="preserve">↑ = meilleur</w:t>
            </w:r>
          </w:p>
        </w:tc>
        <w:tc>
          <w:tcPr/>
          <w:p>
            <w:pPr>
              <w:pStyle w:val="Compact"/>
            </w:pPr>
            <w:r>
              <w:t xml:space="preserve">↑ = meilleur</w:t>
            </w:r>
          </w:p>
        </w:tc>
        <w:tc>
          <w:tcPr/>
          <w:p>
            <w:pPr>
              <w:pStyle w:val="Compact"/>
            </w:pPr>
            <w:r>
              <w:t xml:space="preserve">↑ = plus risqué</w:t>
            </w:r>
          </w:p>
        </w:tc>
      </w:tr>
      <w:tr>
        <w:tc>
          <w:tcPr/>
          <w:p>
            <w:pPr>
              <w:pStyle w:val="Compact"/>
            </w:pPr>
            <w:r>
              <w:rPr>
                <w:b/>
                <w:bCs/>
              </w:rPr>
              <w:t xml:space="preserve">Composantes</w:t>
            </w:r>
          </w:p>
        </w:tc>
        <w:tc>
          <w:tcPr/>
          <w:p>
            <w:pPr>
              <w:pStyle w:val="Compact"/>
            </w:pPr>
            <w:r>
              <w:t xml:space="preserve">6 variables email</w:t>
            </w:r>
          </w:p>
        </w:tc>
        <w:tc>
          <w:tcPr/>
          <w:p>
            <w:pPr>
              <w:pStyle w:val="Compact"/>
            </w:pPr>
            <w:r>
              <w:t xml:space="preserve">6 variables protocolaires</w:t>
            </w:r>
          </w:p>
        </w:tc>
        <w:tc>
          <w:tcPr/>
          <w:p>
            <w:pPr>
              <w:pStyle w:val="Compact"/>
            </w:pPr>
            <w:r>
              <w:t xml:space="preserve">4 domaines × N variables</w:t>
            </w:r>
          </w:p>
        </w:tc>
      </w:tr>
      <w:tr>
        <w:tc>
          <w:tcPr/>
          <w:p>
            <w:pPr>
              <w:pStyle w:val="Compact"/>
            </w:pPr>
            <w:r>
              <w:rPr>
                <w:b/>
                <w:bCs/>
              </w:rPr>
              <w:t xml:space="preserve">Plage effective</w:t>
            </w:r>
          </w:p>
        </w:tc>
        <w:tc>
          <w:tcPr/>
          <w:p>
            <w:pPr>
              <w:pStyle w:val="Compact"/>
            </w:pPr>
            <w:r>
              <w:t xml:space="preserve">68 – 91</w:t>
            </w:r>
          </w:p>
        </w:tc>
        <w:tc>
          <w:tcPr/>
          <w:p>
            <w:pPr>
              <w:pStyle w:val="Compact"/>
            </w:pPr>
            <w:r>
              <w:t xml:space="preserve">22 – 65</w:t>
            </w:r>
          </w:p>
        </w:tc>
        <w:tc>
          <w:tcPr/>
          <w:p>
            <w:pPr>
              <w:pStyle w:val="Compact"/>
            </w:pPr>
            <w:r>
              <w:t xml:space="preserve">0 – 71</w:t>
            </w:r>
          </w:p>
        </w:tc>
      </w:tr>
    </w:tbl>
    <w:bookmarkStart w:id="51" w:name="corrélations-observées"/>
    <w:p>
      <w:pPr>
        <w:pStyle w:val="Heading3"/>
      </w:pPr>
      <w:r>
        <w:t xml:space="preserve">5.1 Corrélations Observées</w:t>
      </w:r>
    </w:p>
    <w:p>
      <w:pPr>
        <w:pStyle w:val="FirstParagraph"/>
      </w:pPr>
      <w:r>
        <w:t xml:space="preserve">D’après l’analyse Phase H (matrice de Spearman) :</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Paire</w:t>
            </w:r>
          </w:p>
        </w:tc>
        <w:tc>
          <w:tcPr/>
          <w:p>
            <w:pPr>
              <w:pStyle w:val="Compact"/>
              <w:jc w:val="right"/>
            </w:pPr>
            <w:r>
              <w:t xml:space="preserve">ρ</w:t>
            </w:r>
          </w:p>
        </w:tc>
        <w:tc>
          <w:tcPr/>
          <w:p>
            <w:pPr>
              <w:pStyle w:val="Compact"/>
              <w:jc w:val="right"/>
            </w:pPr>
            <w:r>
              <w:t xml:space="preserve">p-value</w:t>
            </w:r>
          </w:p>
        </w:tc>
        <w:tc>
          <w:tcPr/>
          <w:p>
            <w:pPr>
              <w:pStyle w:val="Compact"/>
            </w:pPr>
            <w:r>
              <w:t xml:space="preserve">Interprétation</w:t>
            </w:r>
          </w:p>
        </w:tc>
      </w:tr>
      <w:tr>
        <w:tc>
          <w:tcPr/>
          <w:p>
            <w:pPr>
              <w:pStyle w:val="Compact"/>
            </w:pPr>
            <w:r>
              <w:t xml:space="preserve">ISE ↔ IVC</w:t>
            </w:r>
          </w:p>
        </w:tc>
        <w:tc>
          <w:tcPr/>
          <w:p>
            <w:pPr>
              <w:pStyle w:val="Compact"/>
              <w:jc w:val="right"/>
            </w:pPr>
            <w:r>
              <w:t xml:space="preserve">−0.71</w:t>
            </w:r>
          </w:p>
        </w:tc>
        <w:tc>
          <w:tcPr/>
          <w:p>
            <w:pPr>
              <w:pStyle w:val="Compact"/>
              <w:jc w:val="right"/>
            </w:pPr>
            <w:r>
              <w:t xml:space="preserve">0.007</w:t>
            </w:r>
          </w:p>
        </w:tc>
        <w:tc>
          <w:tcPr/>
          <w:p>
            <w:pPr>
              <w:pStyle w:val="Compact"/>
            </w:pPr>
            <w:r>
              <w:t xml:space="preserve">Logique : quand l’email est moins sécurisé, la vulnérabilité globale augmente</w:t>
            </w:r>
          </w:p>
        </w:tc>
      </w:tr>
      <w:tr>
        <w:tc>
          <w:tcPr/>
          <w:p>
            <w:pPr>
              <w:pStyle w:val="Compact"/>
            </w:pPr>
            <w:r>
              <w:t xml:space="preserve">IMP ↔ IVC</w:t>
            </w:r>
          </w:p>
        </w:tc>
        <w:tc>
          <w:tcPr/>
          <w:p>
            <w:pPr>
              <w:pStyle w:val="Compact"/>
              <w:jc w:val="right"/>
            </w:pPr>
            <w:r>
              <w:t xml:space="preserve">−0.68</w:t>
            </w:r>
          </w:p>
        </w:tc>
        <w:tc>
          <w:tcPr/>
          <w:p>
            <w:pPr>
              <w:pStyle w:val="Compact"/>
              <w:jc w:val="right"/>
            </w:pPr>
            <w:r>
              <w:t xml:space="preserve">0.011</w:t>
            </w:r>
          </w:p>
        </w:tc>
        <w:tc>
          <w:tcPr/>
          <w:p>
            <w:pPr>
              <w:pStyle w:val="Compact"/>
            </w:pPr>
            <w:r>
              <w:t xml:space="preserve">Logique : quand les protocoles sont plus matures, la vulnérabilité diminue</w:t>
            </w:r>
          </w:p>
        </w:tc>
      </w:tr>
      <w:tr>
        <w:tc>
          <w:tcPr/>
          <w:p>
            <w:pPr>
              <w:pStyle w:val="Compact"/>
            </w:pPr>
            <w:r>
              <w:t xml:space="preserve">ISE ↔ IMP</w:t>
            </w:r>
          </w:p>
        </w:tc>
        <w:tc>
          <w:tcPr/>
          <w:p>
            <w:pPr>
              <w:pStyle w:val="Compact"/>
              <w:jc w:val="right"/>
            </w:pPr>
            <w:r>
              <w:t xml:space="preserve">+0.54</w:t>
            </w:r>
          </w:p>
        </w:tc>
        <w:tc>
          <w:tcPr/>
          <w:p>
            <w:pPr>
              <w:pStyle w:val="Compact"/>
              <w:jc w:val="right"/>
            </w:pPr>
            <w:r>
              <w:t xml:space="preserve">0.000</w:t>
            </w:r>
          </w:p>
        </w:tc>
        <w:tc>
          <w:tcPr/>
          <w:p>
            <w:pPr>
              <w:pStyle w:val="Compact"/>
            </w:pPr>
            <w:r>
              <w:t xml:space="preserve">Corrélation positive attendue : pays matures = meilleure sécurité email mondiale</w:t>
            </w:r>
          </w:p>
        </w:tc>
      </w:tr>
    </w:tbl>
    <w:bookmarkEnd w:id="51"/>
    <w:bookmarkStart w:id="52" w:name="utilisation-combinée"/>
    <w:p>
      <w:pPr>
        <w:pStyle w:val="Heading3"/>
      </w:pPr>
      <w:r>
        <w:t xml:space="preserve">5.2 Utilisation Combinée</w:t>
      </w:r>
    </w:p>
    <w:p>
      <w:pPr>
        <w:pStyle w:val="FirstParagraph"/>
      </w:pPr>
      <w:r>
        <w:t xml:space="preserve">Pour une analyse complète de la sécurité internet à un instant t :</w:t>
      </w:r>
    </w:p>
    <w:p>
      <w:pPr>
        <w:pStyle w:val="SourceCode"/>
      </w:pPr>
      <w:r>
        <w:rPr>
          <w:rStyle w:val="VerbatimChar"/>
        </w:rPr>
        <w:t xml:space="preserve">1. ISE(t)  → "La sécurité email est-elle bonne cette semaine ?"</w:t>
      </w:r>
      <w:r>
        <w:br/>
      </w:r>
      <w:r>
        <w:rPr>
          <w:rStyle w:val="VerbatimChar"/>
        </w:rPr>
        <w:t xml:space="preserve">2. IMP(pays, t) → "Ce pays est-il prêt à faire face aux menaces modernes ?"</w:t>
      </w:r>
      <w:r>
        <w:br/>
      </w:r>
      <w:r>
        <w:rPr>
          <w:rStyle w:val="VerbatimChar"/>
        </w:rPr>
        <w:t xml:space="preserve">3. IVC(t)  → "Cette semaine est-elle plus dangereuse que d'habitude ?"</w:t>
      </w:r>
    </w:p>
    <w:p>
      <w:pPr>
        <w:pStyle w:val="FirstParagraph"/>
      </w:pPr>
      <w:r>
        <w:t xml:space="preserve">Un système d’alerte précoce basé sur ces trois indices pourrait déclencher une notification dès que :</w:t>
      </w:r>
      <w:r>
        <w:t xml:space="preserve"> </w:t>
      </w:r>
      <w:r>
        <w:t xml:space="preserve">-</w:t>
      </w:r>
      <w:r>
        <w:t xml:space="preserve"> </w:t>
      </w:r>
      <w:r>
        <w:rPr>
          <w:b/>
          <w:bCs/>
        </w:rPr>
        <w:t xml:space="preserve">ISE &lt; 75</w:t>
      </w:r>
      <w:r>
        <w:t xml:space="preserve"> </w:t>
      </w:r>
      <w:r>
        <w:t xml:space="preserve">(sécurité email dégradée)</w:t>
      </w:r>
      <w:r>
        <w:t xml:space="preserve"> </w:t>
      </w:r>
      <w:r>
        <w:rPr>
          <w:b/>
          <w:bCs/>
        </w:rPr>
        <w:t xml:space="preserve">ET</w:t>
      </w:r>
      <w:r>
        <w:t xml:space="preserve"> </w:t>
      </w:r>
      <w:r>
        <w:t xml:space="preserve">-</w:t>
      </w:r>
      <w:r>
        <w:t xml:space="preserve"> </w:t>
      </w:r>
      <w:r>
        <w:rPr>
          <w:b/>
          <w:bCs/>
        </w:rPr>
        <w:t xml:space="preserve">IVC &gt; 65</w:t>
      </w:r>
      <w:r>
        <w:t xml:space="preserve"> </w:t>
      </w:r>
      <w:r>
        <w:t xml:space="preserve">(vulnérabilité globale élevée)</w:t>
      </w:r>
    </w:p>
    <w:p>
      <w:pPr>
        <w:pStyle w:val="BodyText"/>
      </w:pPr>
      <w:r>
        <w:t xml:space="preserve">Ces deux conditions simultanées caractérisent les 3 semaines les plus critiques de la période.</w:t>
      </w:r>
    </w:p>
    <w:p>
      <w:r>
        <w:pict>
          <v:rect style="width:0;height:1.5pt" o:hralign="center" o:hrstd="t" o:hr="t"/>
        </w:pict>
      </w:r>
    </w:p>
    <w:bookmarkEnd w:id="52"/>
    <w:bookmarkEnd w:id="53"/>
    <w:bookmarkStart w:id="57" w:name="perspectives-dévolution"/>
    <w:p>
      <w:pPr>
        <w:pStyle w:val="Heading2"/>
      </w:pPr>
      <w:r>
        <w:t xml:space="preserve">6. Perspectives d’Évolution</w:t>
      </w:r>
    </w:p>
    <w:bookmarkStart w:id="54" w:name="ise-améliorations-possibles"/>
    <w:p>
      <w:pPr>
        <w:pStyle w:val="Heading3"/>
      </w:pPr>
      <w:r>
        <w:t xml:space="preserve">6.1 ISE — Améliorations Possibles</w:t>
      </w:r>
    </w:p>
    <w:p>
      <w:pPr>
        <w:pStyle w:val="Compact"/>
        <w:numPr>
          <w:ilvl w:val="0"/>
          <w:numId w:val="1003"/>
        </w:numPr>
      </w:pPr>
      <w:r>
        <w:rPr>
          <w:b/>
          <w:bCs/>
        </w:rPr>
        <w:t xml:space="preserve">Pondération dynamique</w:t>
      </w:r>
      <w:r>
        <w:t xml:space="preserve"> </w:t>
      </w:r>
      <w:r>
        <w:t xml:space="preserve">par analyse factorielle exploratoire sur données historiques longues</w:t>
      </w:r>
    </w:p>
    <w:p>
      <w:pPr>
        <w:pStyle w:val="Compact"/>
        <w:numPr>
          <w:ilvl w:val="0"/>
          <w:numId w:val="1003"/>
        </w:numPr>
      </w:pPr>
      <w:r>
        <w:rPr>
          <w:b/>
          <w:bCs/>
        </w:rPr>
        <w:t xml:space="preserve">Segmentation géographique</w:t>
      </w:r>
      <w:r>
        <w:t xml:space="preserve"> </w:t>
      </w:r>
      <w:r>
        <w:t xml:space="preserve">: calculer un ISE par région (Europe, Amérique du Nord, Asie-Pacifique, etc.) pour détecter les crises localisées</w:t>
      </w:r>
    </w:p>
    <w:p>
      <w:pPr>
        <w:pStyle w:val="Compact"/>
        <w:numPr>
          <w:ilvl w:val="0"/>
          <w:numId w:val="1003"/>
        </w:numPr>
      </w:pPr>
      <w:r>
        <w:rPr>
          <w:b/>
          <w:bCs/>
        </w:rPr>
        <w:t xml:space="preserve">Ajout du taux DMARC p=reject</w:t>
      </w:r>
      <w:r>
        <w:t xml:space="preserve"> </w:t>
      </w:r>
      <w:r>
        <w:t xml:space="preserve">: distinguer les domaines avec une protection DMARC active (p=reject) de ceux en mode monitoring (p=none)</w:t>
      </w:r>
    </w:p>
    <w:bookmarkEnd w:id="54"/>
    <w:bookmarkStart w:id="55" w:name="imp-améliorations-possibles"/>
    <w:p>
      <w:pPr>
        <w:pStyle w:val="Heading3"/>
      </w:pPr>
      <w:r>
        <w:t xml:space="preserve">6.2 IMP — Améliorations Possibles</w:t>
      </w:r>
    </w:p>
    <w:p>
      <w:pPr>
        <w:pStyle w:val="Compact"/>
        <w:numPr>
          <w:ilvl w:val="0"/>
          <w:numId w:val="1004"/>
        </w:numPr>
      </w:pPr>
      <w:r>
        <w:rPr>
          <w:b/>
          <w:bCs/>
        </w:rPr>
        <w:t xml:space="preserve">Ajout DNSSEC</w:t>
      </w:r>
      <w:r>
        <w:t xml:space="preserve"> </w:t>
      </w:r>
      <w:r>
        <w:t xml:space="preserve">: l’adoption de DNSSEC est un indicateur fort de maturité de sécurité DNS, non disponible dans le dataset actuel</w:t>
      </w:r>
    </w:p>
    <w:p>
      <w:pPr>
        <w:pStyle w:val="Compact"/>
        <w:numPr>
          <w:ilvl w:val="0"/>
          <w:numId w:val="1004"/>
        </w:numPr>
      </w:pPr>
      <w:r>
        <w:rPr>
          <w:b/>
          <w:bCs/>
        </w:rPr>
        <w:t xml:space="preserve">Ajout ECH (Encrypted Client Hello)</w:t>
      </w:r>
      <w:r>
        <w:t xml:space="preserve"> </w:t>
      </w:r>
      <w:r>
        <w:t xml:space="preserve">: protocole émergent protégeant la confidentialité des métadonnées TLS</w:t>
      </w:r>
    </w:p>
    <w:p>
      <w:pPr>
        <w:pStyle w:val="Compact"/>
        <w:numPr>
          <w:ilvl w:val="0"/>
          <w:numId w:val="1004"/>
        </w:numPr>
      </w:pPr>
      <w:r>
        <w:rPr>
          <w:b/>
          <w:bCs/>
        </w:rPr>
        <w:t xml:space="preserve">Pondération AHP</w:t>
      </w:r>
      <w:r>
        <w:t xml:space="preserve"> </w:t>
      </w:r>
      <w:r>
        <w:t xml:space="preserve">: faire valider les poids par un panel d’experts (opérateurs, chercheurs, décideurs)</w:t>
      </w:r>
    </w:p>
    <w:p>
      <w:pPr>
        <w:pStyle w:val="Compact"/>
        <w:numPr>
          <w:ilvl w:val="0"/>
          <w:numId w:val="1004"/>
        </w:numPr>
      </w:pPr>
      <w:r>
        <w:rPr>
          <w:b/>
          <w:bCs/>
        </w:rPr>
        <w:t xml:space="preserve">Stabilisation temporelle</w:t>
      </w:r>
      <w:r>
        <w:t xml:space="preserve"> </w:t>
      </w:r>
      <w:r>
        <w:t xml:space="preserve">: calculer l’IMP sur une fenêtre glissante de 4 semaines pour lisser les variations hebdomadaires</w:t>
      </w:r>
    </w:p>
    <w:bookmarkEnd w:id="55"/>
    <w:bookmarkStart w:id="56" w:name="ivc-améliorations-possibles"/>
    <w:p>
      <w:pPr>
        <w:pStyle w:val="Heading3"/>
      </w:pPr>
      <w:r>
        <w:t xml:space="preserve">6.3 IVC — Améliorations Possibles</w:t>
      </w:r>
    </w:p>
    <w:p>
      <w:pPr>
        <w:pStyle w:val="Compact"/>
        <w:numPr>
          <w:ilvl w:val="0"/>
          <w:numId w:val="1005"/>
        </w:numPr>
      </w:pPr>
      <w:r>
        <w:rPr>
          <w:b/>
          <w:bCs/>
        </w:rPr>
        <w:t xml:space="preserve">Extension de la fenêtre temporelle</w:t>
      </w:r>
      <w:r>
        <w:t xml:space="preserve"> </w:t>
      </w:r>
      <w:r>
        <w:t xml:space="preserve">: porter l’analyse à 2-3 ans pour calibrer le score sur une base historique suffisante</w:t>
      </w:r>
    </w:p>
    <w:p>
      <w:pPr>
        <w:pStyle w:val="Compact"/>
        <w:numPr>
          <w:ilvl w:val="0"/>
          <w:numId w:val="1005"/>
        </w:numPr>
      </w:pPr>
      <w:r>
        <w:rPr>
          <w:b/>
          <w:bCs/>
        </w:rPr>
        <w:t xml:space="preserve">Pondération adaptative</w:t>
      </w:r>
      <w:r>
        <w:t xml:space="preserve"> </w:t>
      </w:r>
      <w:r>
        <w:t xml:space="preserve">: les poids 0.30/0.30/0.20/0.20 pourraient être recalculés trimestriellement par régression sur un indicateur de référence (ex : nombre d’incidents CERT signalés)</w:t>
      </w:r>
    </w:p>
    <w:p>
      <w:pPr>
        <w:pStyle w:val="Compact"/>
        <w:numPr>
          <w:ilvl w:val="0"/>
          <w:numId w:val="1005"/>
        </w:numPr>
      </w:pPr>
      <w:r>
        <w:rPr>
          <w:b/>
          <w:bCs/>
        </w:rPr>
        <w:t xml:space="preserve">Décomposition géographique</w:t>
      </w:r>
      <w:r>
        <w:t xml:space="preserve"> </w:t>
      </w:r>
      <w:r>
        <w:t xml:space="preserve">: calculer quatre IVC régionaux et un IVC mondial comme agrégation pondérée par la population internet</w:t>
      </w:r>
    </w:p>
    <w:p>
      <w:pPr>
        <w:pStyle w:val="Compact"/>
        <w:numPr>
          <w:ilvl w:val="0"/>
          <w:numId w:val="1005"/>
        </w:numPr>
      </w:pPr>
      <w:r>
        <w:rPr>
          <w:b/>
          <w:bCs/>
        </w:rPr>
        <w:t xml:space="preserve">Mode temps-réel</w:t>
      </w:r>
      <w:r>
        <w:t xml:space="preserve"> </w:t>
      </w:r>
      <w:r>
        <w:t xml:space="preserve">: adapter l’IVC pour un calcul journalier sur données L7 (les seules disponibles à cette granularité) et hebdomadaire sur les autres</w:t>
      </w:r>
    </w:p>
    <w:p>
      <w:r>
        <w:pict>
          <v:rect style="width:0;height:1.5pt" o:hralign="center" o:hrstd="t" o:hr="t"/>
        </w:pict>
      </w:r>
    </w:p>
    <w:bookmarkEnd w:id="56"/>
    <w:bookmarkEnd w:id="57"/>
    <w:bookmarkStart w:id="58" w:name="conclusion"/>
    <w:p>
      <w:pPr>
        <w:pStyle w:val="Heading2"/>
      </w:pPr>
      <w:r>
        <w:t xml:space="preserve">7. Conclusion</w:t>
      </w:r>
    </w:p>
    <w:p>
      <w:pPr>
        <w:pStyle w:val="FirstParagraph"/>
      </w:pPr>
      <w:r>
        <w:t xml:space="preserve">Les trois indices ISE, IMP et IVC constituent un système cohérent d’évaluation de la sécurité internet :</w:t>
      </w:r>
    </w:p>
    <w:p>
      <w:pPr>
        <w:pStyle w:val="Compact"/>
        <w:numPr>
          <w:ilvl w:val="0"/>
          <w:numId w:val="1006"/>
        </w:numPr>
      </w:pPr>
      <w:r>
        <w:rPr>
          <w:b/>
          <w:bCs/>
        </w:rPr>
        <w:t xml:space="preserve">ISE</w:t>
      </w:r>
      <w:r>
        <w:t xml:space="preserve"> </w:t>
      </w:r>
      <w:r>
        <w:t xml:space="preserve">mesure la</w:t>
      </w:r>
      <w:r>
        <w:t xml:space="preserve"> </w:t>
      </w:r>
      <w:r>
        <w:rPr>
          <w:b/>
          <w:bCs/>
        </w:rPr>
        <w:t xml:space="preserve">santé quotidienne</w:t>
      </w:r>
      <w:r>
        <w:t xml:space="preserve"> </w:t>
      </w:r>
      <w:r>
        <w:t xml:space="preserve">de la sécurité email avec une sensibilité aux crises prouvée (minimum 68.4 le 18 mai 2026)</w:t>
      </w:r>
    </w:p>
    <w:p>
      <w:pPr>
        <w:pStyle w:val="Compact"/>
        <w:numPr>
          <w:ilvl w:val="0"/>
          <w:numId w:val="1006"/>
        </w:numPr>
      </w:pPr>
      <w:r>
        <w:rPr>
          <w:b/>
          <w:bCs/>
        </w:rPr>
        <w:t xml:space="preserve">IMP</w:t>
      </w:r>
      <w:r>
        <w:t xml:space="preserve"> </w:t>
      </w:r>
      <w:r>
        <w:t xml:space="preserve">mesure la</w:t>
      </w:r>
      <w:r>
        <w:t xml:space="preserve"> </w:t>
      </w:r>
      <w:r>
        <w:rPr>
          <w:b/>
          <w:bCs/>
        </w:rPr>
        <w:t xml:space="preserve">maturité structurelle</w:t>
      </w:r>
      <w:r>
        <w:t xml:space="preserve"> </w:t>
      </w:r>
      <w:r>
        <w:t xml:space="preserve">des pays et permet une segmentation géographique révélant la fracture numérique (écart de 36 points entre pays matures et pays sous-équipés)</w:t>
      </w:r>
    </w:p>
    <w:p>
      <w:pPr>
        <w:pStyle w:val="Compact"/>
        <w:numPr>
          <w:ilvl w:val="0"/>
          <w:numId w:val="1006"/>
        </w:numPr>
      </w:pPr>
      <w:r>
        <w:rPr>
          <w:b/>
          <w:bCs/>
        </w:rPr>
        <w:t xml:space="preserve">IVC</w:t>
      </w:r>
      <w:r>
        <w:t xml:space="preserve"> </w:t>
      </w:r>
      <w:r>
        <w:t xml:space="preserve">mesure la</w:t>
      </w:r>
      <w:r>
        <w:t xml:space="preserve"> </w:t>
      </w:r>
      <w:r>
        <w:rPr>
          <w:b/>
          <w:bCs/>
        </w:rPr>
        <w:t xml:space="preserve">tension globale</w:t>
      </w:r>
      <w:r>
        <w:t xml:space="preserve"> </w:t>
      </w:r>
      <w:r>
        <w:t xml:space="preserve">de sécurité internet et détecte les semaines critiques avec une concordance parfaite avec les méthodes de détection d’anomalies indépendantes (Phase J)</w:t>
      </w:r>
    </w:p>
    <w:p>
      <w:pPr>
        <w:pStyle w:val="FirstParagraph"/>
      </w:pPr>
      <w:r>
        <w:t xml:space="preserve">Ces indices sont entièrement reproductibles à partir des données publiques Cloudflare Radar API v4 et des scripts Python documentés dans ce projet.</w:t>
      </w:r>
    </w:p>
    <w:p>
      <w:r>
        <w:pict>
          <v:rect style="width:0;height:1.5pt" o:hralign="center" o:hrstd="t" o:hr="t"/>
        </w:pict>
      </w:r>
    </w:p>
    <w:p>
      <w:pPr>
        <w:pStyle w:val="FirstParagraph"/>
      </w:pPr>
      <w:r>
        <w:rPr>
          <w:i/>
          <w:iCs/>
        </w:rPr>
        <w:t xml:space="preserve">Issakha Thiam — Issakha.THIAM@uca.fr</w:t>
      </w:r>
    </w:p>
    <w:p>
      <w:pPr>
        <w:pStyle w:val="BodyText"/>
      </w:pPr>
      <w:r>
        <w:rPr>
          <w:i/>
          <w:iCs/>
        </w:rPr>
        <w:t xml:space="preserve">Juin 2026</w:t>
      </w:r>
    </w:p>
    <w:p>
      <w:pPr>
        <w:pStyle w:val="BodyText"/>
      </w:pPr>
      <w:r>
        <w:rPr>
          <w:i/>
          <w:iCs/>
        </w:rPr>
        <w:t xml:space="preserve">Scripts sources :</w:t>
      </w:r>
      <w:r>
        <w:rPr>
          <w:i/>
          <w:iCs/>
        </w:rPr>
        <w:t xml:space="preserve"> </w:t>
      </w:r>
      <w:r>
        <w:rPr>
          <w:rStyle w:val="VerbatimChar"/>
          <w:i/>
          <w:iCs/>
        </w:rPr>
        <w:t xml:space="preserve">phase_D_geographique.py</w:t>
      </w:r>
      <w:r>
        <w:rPr>
          <w:i/>
          <w:iCs/>
        </w:rPr>
        <w:t xml:space="preserve"> </w:t>
      </w:r>
      <w:r>
        <w:rPr>
          <w:i/>
          <w:iCs/>
        </w:rPr>
        <w:t xml:space="preserve">(IMP),</w:t>
      </w:r>
      <w:r>
        <w:rPr>
          <w:i/>
          <w:iCs/>
        </w:rPr>
        <w:t xml:space="preserve"> </w:t>
      </w:r>
      <w:r>
        <w:rPr>
          <w:rStyle w:val="VerbatimChar"/>
          <w:i/>
          <w:iCs/>
        </w:rPr>
        <w:t xml:space="preserve">phase_F_email.py</w:t>
      </w:r>
      <w:r>
        <w:rPr>
          <w:i/>
          <w:iCs/>
        </w:rPr>
        <w:t xml:space="preserve"> </w:t>
      </w:r>
      <w:r>
        <w:rPr>
          <w:i/>
          <w:iCs/>
        </w:rPr>
        <w:t xml:space="preserve">(ISE),</w:t>
      </w:r>
      <w:r>
        <w:rPr>
          <w:i/>
          <w:iCs/>
        </w:rPr>
        <w:t xml:space="preserve"> </w:t>
      </w:r>
      <w:r>
        <w:rPr>
          <w:rStyle w:val="VerbatimChar"/>
          <w:i/>
          <w:iCs/>
        </w:rPr>
        <w:t xml:space="preserve">phase_H_correlations.py</w:t>
      </w:r>
      <w:r>
        <w:rPr>
          <w:i/>
          <w:iCs/>
        </w:rPr>
        <w:t xml:space="preserve"> </w:t>
      </w:r>
      <w:r>
        <w:rPr>
          <w:i/>
          <w:iCs/>
        </w:rPr>
        <w:t xml:space="preserve">(IVC)</w:t>
      </w:r>
    </w:p>
    <w:bookmarkEnd w:id="58"/>
    <w:bookmarkEnd w:id="59"/>
    <w:sectPr>
      <w:footerReference r:id="rId7" w:type="default"/>
      <w:pgSz w:h="16838" w:orient="portrait" w:w="11906"/>
      <w:pgMar w:bottom="1418" w:footer="567" w:gutter="0" w:header="567" w:left="1418" w:right="1418" w:top="1418"/>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08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Normal" w:type="paragraph">
    <w:name w:val="Normal"/>
    <w:pPr>
      <w:spacing w:after="120" w:line="276" w:lineRule="auto"/>
      <w:jc w:val="both"/>
    </w:pPr>
    <w:rPr>
      <w:rFonts w:ascii="Times New Roman" w:cs="Times New Roman" w:eastAsia="Times New Roman" w:hAnsi="Times New Roman"/>
      <w:sz w:val="24"/>
      <w:szCs w:val="24"/>
    </w:rPr>
  </w:style>
  <w:style w:styleId="Heading1" w:type="paragraph">
    <w:name w:val="Heading 1"/>
    <w:basedOn w:val="Normal"/>
    <w:next w:val="Normal"/>
    <w:qFormat/>
    <w:pPr>
      <w:spacing w:after="180" w:before="360"/>
      <w:jc w:val="left"/>
      <w:outlineLvl w:val="0"/>
    </w:pPr>
    <w:rPr>
      <w:rFonts w:ascii="Arial" w:cs="Arial" w:eastAsia="Arial" w:hAnsi="Arial"/>
      <w:b/>
      <w:bCs/>
      <w:color w:val="1F3864"/>
      <w:sz w:val="32"/>
      <w:szCs w:val="32"/>
    </w:rPr>
  </w:style>
  <w:style w:styleId="Heading2" w:type="paragraph">
    <w:name w:val="Heading 2"/>
    <w:basedOn w:val="Normal"/>
    <w:next w:val="Normal"/>
    <w:qFormat/>
    <w:pPr>
      <w:pBdr>
        <w:bottom w:color="1F3864" w:space="1" w:sz="6" w:val="single"/>
      </w:pBdr>
      <w:spacing w:after="120" w:before="300"/>
      <w:outlineLvl w:val="1"/>
    </w:pPr>
    <w:rPr>
      <w:rFonts w:ascii="Arial" w:cs="Arial" w:eastAsia="Arial" w:hAnsi="Arial"/>
      <w:b/>
      <w:bCs/>
      <w:color w:val="1F3864"/>
      <w:sz w:val="28"/>
      <w:szCs w:val="28"/>
    </w:rPr>
  </w:style>
  <w:style w:styleId="Heading3" w:type="paragraph">
    <w:name w:val="Heading 3"/>
    <w:basedOn w:val="Normal"/>
    <w:next w:val="Normal"/>
    <w:qFormat/>
    <w:pPr>
      <w:spacing w:after="80" w:before="240"/>
      <w:outlineLvl w:val="2"/>
    </w:pPr>
    <w:rPr>
      <w:rFonts w:ascii="Arial" w:cs="Arial" w:eastAsia="Arial" w:hAnsi="Arial"/>
      <w:b/>
      <w:bCs/>
      <w:color w:val="2E5F8A"/>
      <w:sz w:val="24"/>
      <w:szCs w:val="24"/>
    </w:rPr>
  </w:style>
  <w:style w:styleId="Heading4" w:type="paragraph">
    <w:name w:val="Heading 4"/>
    <w:basedOn w:val="Normal"/>
    <w:next w:val="Normal"/>
    <w:qFormat/>
    <w:pPr>
      <w:spacing w:after="60" w:before="180"/>
      <w:outlineLvl w:val="3"/>
    </w:pPr>
    <w:rPr>
      <w:rFonts w:ascii="Arial" w:cs="Arial" w:eastAsia="Arial" w:hAnsi="Arial"/>
      <w:b/>
      <w:bCs/>
      <w:color w:val="444444"/>
      <w:sz w:val="22"/>
      <w:szCs w:val="22"/>
    </w:rPr>
  </w:style>
  <w:style w:styleId="BlockText" w:type="paragraph">
    <w:name w:val="Block Text"/>
    <w:basedOn w:val="Normal"/>
    <w:pPr>
      <w:spacing w:after="80" w:before="80"/>
      <w:ind w:left="720"/>
    </w:pPr>
    <w:rPr>
      <w:rFonts w:ascii="Times New Roman" w:cs="Times New Roman" w:eastAsia="Times New Roman" w:hAnsi="Times New Roman"/>
      <w:sz w:val="22"/>
      <w:szCs w:val="22"/>
    </w:rPr>
  </w:style>
  <w:style w:styleId="SourceCode" w:type="paragraph">
    <w:name w:val="Source Code"/>
    <w:basedOn w:val="Normal"/>
    <w:pPr>
      <w:shd w:fill="F5F5F5"/>
      <w:spacing w:after="80" w:before="80"/>
    </w:pPr>
    <w:rPr>
      <w:rFonts w:ascii="Courier New" w:cs="Courier New" w:eastAsia="Courier New" w:hAnsi="Courier New"/>
      <w:color w:val="333333"/>
      <w:sz w:val="20"/>
      <w:szCs w:val="20"/>
    </w:rPr>
  </w:style>
  <w:style w:styleId="VerbatimChar" w:type="paragraph">
    <w:name w:val="Verbatim Char"/>
    <w:basedOn w:val="Normal"/>
    <w:rPr>
      <w:rFonts w:ascii="Courier New" w:cs="Courier New" w:eastAsia="Courier New" w:hAnsi="Courier New"/>
      <w:sz w:val="20"/>
      <w:szCs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2026-06-17T10:41:42Z</dcterms:created>
  <dcterms:modified xsi:type="dcterms:W3CDTF">2026-06-17T10:41:42Z</dcterms:modified>
</cp:coreProperties>
</file>

<file path=docProps/custom.xml><?xml version="1.0" encoding="utf-8"?>
<Properties xmlns="http://schemas.openxmlformats.org/officeDocument/2006/custom-properties" xmlns:vt="http://schemas.openxmlformats.org/officeDocument/2006/docPropsVTypes"/>
</file>