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8e13a90b084c05bac15f8d06b7054ece5cfbff"/>
    <w:p>
      <w:pPr>
        <w:pStyle w:val="Heading1"/>
      </w:pPr>
      <w:r>
        <w:t xml:space="preserve">Géopolitique de la Sécurité Internet : Disparités Régionales des Protocoles de Protection (2025-2026)</w:t>
      </w:r>
    </w:p>
    <w:p>
      <w:pPr>
        <w:pStyle w:val="FirstParagraph"/>
      </w:pPr>
      <w:r>
        <w:rPr>
          <w:b/>
          <w:bCs/>
        </w:rPr>
        <w:t xml:space="preserve">Auteur :</w:t>
      </w:r>
      <w:r>
        <w:t xml:space="preserve"> </w:t>
      </w:r>
      <w:r>
        <w:t xml:space="preserve">Issakha Thiam |</w:t>
      </w:r>
      <w:r>
        <w:t xml:space="preserve"> </w:t>
      </w:r>
      <w:r>
        <w:rPr>
          <w:b/>
          <w:bCs/>
        </w:rPr>
        <w:t xml:space="preserve">Email :</w:t>
      </w:r>
      <w:r>
        <w:t xml:space="preserve"> </w:t>
      </w:r>
      <w:r>
        <w:t xml:space="preserve">Issakha.THIAM@uca.fr |</w:t>
      </w:r>
      <w:r>
        <w:t xml:space="preserve"> </w:t>
      </w:r>
      <w:r>
        <w:rPr>
          <w:b/>
          <w:bCs/>
        </w:rPr>
        <w:t xml:space="preserve">Date :</w:t>
      </w:r>
      <w:r>
        <w:t xml:space="preserve"> </w:t>
      </w:r>
      <w:r>
        <w:t xml:space="preserve">Juin 2026</w:t>
      </w:r>
    </w:p>
    <w:p>
      <w:r>
        <w:pict>
          <v:rect style="width:0;height:1.5pt" o:hralign="center" o:hrstd="t" o:hr="t"/>
        </w:pict>
      </w:r>
    </w:p>
    <w:bookmarkStart w:id="16" w:name="résumé"/>
    <w:p>
      <w:pPr>
        <w:pStyle w:val="Heading2"/>
      </w:pPr>
      <w:r>
        <w:t xml:space="preserve">Résumé</w:t>
      </w:r>
    </w:p>
    <w:p>
      <w:pPr>
        <w:pStyle w:val="FirstParagraph"/>
      </w:pPr>
      <w:r>
        <w:t xml:space="preserve">Cette étude analyse les disparités régionales dans l’adoption des protocoles de sécurité internet — TLS 1.3, IPv6 et HTTP/3 — sur 252 pays et 53 semaines de données Cloudflare Radar (juin 2025 – juin 2026). Le test de Kruskal-Wallis révèle des différences régionales significatives (H = 19,83, p = 0,011) dans l’adoption de TLS 1.3. L’Amérique du Nord (NA) affiche le meilleur taux moyen (71,9 %), tandis que l’Europe de l’Est (EU-East) reste à la traîne (65,3 %). Ces résultats soulignent le rôle structurant de la géopolitique et des écosystèmes numériques régionaux dans la diffusion des standards de sécurité.</w:t>
      </w:r>
    </w:p>
    <w:bookmarkEnd w:id="16"/>
    <w:bookmarkStart w:id="17" w:name="introduction"/>
    <w:p>
      <w:pPr>
        <w:pStyle w:val="Heading2"/>
      </w:pPr>
      <w:r>
        <w:t xml:space="preserve">Introduction</w:t>
      </w:r>
    </w:p>
    <w:p>
      <w:pPr>
        <w:pStyle w:val="FirstParagraph"/>
      </w:pPr>
      <w:r>
        <w:t xml:space="preserve">L’adoption des protocoles modernes de sécurité internet (TLS 1.3, IPv6, HTTP/3) détermine la capacité de résistance des infrastructures numériques face aux attaques. Les dynamiques régionales — qualité des infrastructures, cadre réglementaire, densité des acteurs économiques numériques — jouent un rôle central dans la vitesse de diffusion de ces protocoles. Cette analyse géopolitique, fondée sur 252 pays répartis en sept régions, quantifie ces disparités et teste leur significativité statistique.</w:t>
      </w:r>
    </w:p>
    <w:bookmarkEnd w:id="17"/>
    <w:bookmarkStart w:id="18" w:name="données-et-méthodes"/>
    <w:p>
      <w:pPr>
        <w:pStyle w:val="Heading2"/>
      </w:pPr>
      <w:r>
        <w:t xml:space="preserve">Données et Méthodes</w:t>
      </w:r>
    </w:p>
    <w:p>
      <w:pPr>
        <w:pStyle w:val="FirstParagraph"/>
      </w:pPr>
      <w:r>
        <w:t xml:space="preserve">Pour chaque pays, la moyenne des 53 semaines d’observations est calculée pour quatre métriques : adoption TLS 1.3 (%), adoption IPv6 (%), adoption HTTP/3 (%), et qualité internet (IQI bande passante, p50 en Mbps). Les pays sont regroupés en sept régions géopolitiques : EU-West, EU-East, NA, LATAM, APAC-Dev, APAC-Em, MENA, Africa. Le test ANOVA et le test de Kruskal-Wallis évaluent la significativité des différences inter-régionales.</w:t>
      </w:r>
    </w:p>
    <w:bookmarkEnd w:id="18"/>
    <w:bookmarkStart w:id="22" w:name="résultats"/>
    <w:p>
      <w:pPr>
        <w:pStyle w:val="Heading2"/>
      </w:pPr>
      <w:r>
        <w:t xml:space="preserve">Résultats</w:t>
      </w:r>
    </w:p>
    <w:bookmarkStart w:id="19" w:name="métriques-moyennes-par-région"/>
    <w:p>
      <w:pPr>
        <w:pStyle w:val="Heading3"/>
      </w:pPr>
      <w:r>
        <w:t xml:space="preserve">Métriques moyennes par région</w:t>
      </w:r>
    </w:p>
    <w:tbl>
      <w:tblPr>
        <w:tblStyle w:val="Table"/>
        <w:tblW w:type="pct" w:w="5000"/>
        <w:tblLayout w:type="fixed"/>
        <w:tblLook w:firstRow="1" w:lastRow="0" w:firstColumn="0" w:lastColumn="0" w:noHBand="0" w:noVBand="0" w:val="0020"/>
      </w:tblPr>
      <w:tblGrid>
        <w:gridCol w:w="1514"/>
        <w:gridCol w:w="931"/>
        <w:gridCol w:w="1514"/>
        <w:gridCol w:w="1164"/>
        <w:gridCol w:w="1397"/>
        <w:gridCol w:w="1397"/>
      </w:tblGrid>
      <w:tr>
        <w:trPr>
          <w:tblHeader w:val="on"/>
        </w:trPr>
        <w:tc>
          <w:tcPr/>
          <w:p>
            <w:pPr>
              <w:pStyle w:val="Compact"/>
            </w:pPr>
            <w:r>
              <w:t xml:space="preserve">Région</w:t>
            </w:r>
          </w:p>
        </w:tc>
        <w:tc>
          <w:tcPr/>
          <w:p>
            <w:pPr>
              <w:pStyle w:val="Compact"/>
            </w:pPr>
            <w:r>
              <w:t xml:space="preserve">n pays</w:t>
            </w:r>
          </w:p>
        </w:tc>
        <w:tc>
          <w:tcPr/>
          <w:p>
            <w:pPr>
              <w:pStyle w:val="Compact"/>
            </w:pPr>
            <w:r>
              <w:t xml:space="preserve">TLS 1.3 (%)</w:t>
            </w:r>
          </w:p>
        </w:tc>
        <w:tc>
          <w:tcPr/>
          <w:p>
            <w:pPr>
              <w:pStyle w:val="Compact"/>
            </w:pPr>
            <w:r>
              <w:t xml:space="preserve">IPv6 (%)</w:t>
            </w:r>
          </w:p>
        </w:tc>
        <w:tc>
          <w:tcPr/>
          <w:p>
            <w:pPr>
              <w:pStyle w:val="Compact"/>
            </w:pPr>
            <w:r>
              <w:t xml:space="preserve">HTTP/3 (%)</w:t>
            </w:r>
          </w:p>
        </w:tc>
        <w:tc>
          <w:tcPr/>
          <w:p>
            <w:pPr>
              <w:pStyle w:val="Compact"/>
            </w:pPr>
            <w:r>
              <w:t xml:space="preserve">IQI (Mbps)</w:t>
            </w:r>
          </w:p>
        </w:tc>
      </w:tr>
      <w:tr>
        <w:tc>
          <w:tcPr/>
          <w:p>
            <w:pPr>
              <w:pStyle w:val="Compact"/>
            </w:pPr>
            <w:r>
              <w:t xml:space="preserve">NA</w:t>
            </w:r>
          </w:p>
        </w:tc>
        <w:tc>
          <w:tcPr/>
          <w:p>
            <w:pPr>
              <w:pStyle w:val="Compact"/>
            </w:pPr>
            <w:r>
              <w:t xml:space="preserve">3</w:t>
            </w:r>
          </w:p>
        </w:tc>
        <w:tc>
          <w:tcPr/>
          <w:p>
            <w:pPr>
              <w:pStyle w:val="Compact"/>
            </w:pPr>
            <w:r>
              <w:rPr>
                <w:b/>
                <w:bCs/>
              </w:rPr>
              <w:t xml:space="preserve">71,9</w:t>
            </w:r>
          </w:p>
        </w:tc>
        <w:tc>
          <w:tcPr/>
          <w:p>
            <w:pPr>
              <w:pStyle w:val="Compact"/>
            </w:pPr>
            <w:r>
              <w:t xml:space="preserve">34,7</w:t>
            </w:r>
          </w:p>
        </w:tc>
        <w:tc>
          <w:tcPr/>
          <w:p>
            <w:pPr>
              <w:pStyle w:val="Compact"/>
            </w:pPr>
            <w:r>
              <w:t xml:space="preserve">17,4</w:t>
            </w:r>
          </w:p>
        </w:tc>
        <w:tc>
          <w:tcPr/>
          <w:p>
            <w:pPr>
              <w:pStyle w:val="Compact"/>
            </w:pPr>
            <w:r>
              <w:t xml:space="preserve">47,2</w:t>
            </w:r>
          </w:p>
        </w:tc>
      </w:tr>
      <w:tr>
        <w:tc>
          <w:tcPr/>
          <w:p>
            <w:pPr>
              <w:pStyle w:val="Compact"/>
            </w:pPr>
            <w:r>
              <w:t xml:space="preserve">EU-West</w:t>
            </w:r>
          </w:p>
        </w:tc>
        <w:tc>
          <w:tcPr/>
          <w:p>
            <w:pPr>
              <w:pStyle w:val="Compact"/>
            </w:pPr>
            <w:r>
              <w:t xml:space="preserve">20</w:t>
            </w:r>
          </w:p>
        </w:tc>
        <w:tc>
          <w:tcPr/>
          <w:p>
            <w:pPr>
              <w:pStyle w:val="Compact"/>
            </w:pPr>
            <w:r>
              <w:t xml:space="preserve">70,1</w:t>
            </w:r>
          </w:p>
        </w:tc>
        <w:tc>
          <w:tcPr/>
          <w:p>
            <w:pPr>
              <w:pStyle w:val="Compact"/>
            </w:pPr>
            <w:r>
              <w:rPr>
                <w:b/>
                <w:bCs/>
              </w:rPr>
              <w:t xml:space="preserve">38,6</w:t>
            </w:r>
          </w:p>
        </w:tc>
        <w:tc>
          <w:tcPr/>
          <w:p>
            <w:pPr>
              <w:pStyle w:val="Compact"/>
            </w:pPr>
            <w:r>
              <w:t xml:space="preserve">22,5</w:t>
            </w:r>
          </w:p>
        </w:tc>
        <w:tc>
          <w:tcPr/>
          <w:p>
            <w:pPr>
              <w:pStyle w:val="Compact"/>
            </w:pPr>
            <w:r>
              <w:rPr>
                <w:b/>
                <w:bCs/>
              </w:rPr>
              <w:t xml:space="preserve">89,4</w:t>
            </w:r>
          </w:p>
        </w:tc>
      </w:tr>
      <w:tr>
        <w:tc>
          <w:tcPr/>
          <w:p>
            <w:pPr>
              <w:pStyle w:val="Compact"/>
            </w:pPr>
            <w:r>
              <w:t xml:space="preserve">APAC-Dev</w:t>
            </w:r>
          </w:p>
        </w:tc>
        <w:tc>
          <w:tcPr/>
          <w:p>
            <w:pPr>
              <w:pStyle w:val="Compact"/>
            </w:pPr>
            <w:r>
              <w:t xml:space="preserve">7</w:t>
            </w:r>
          </w:p>
        </w:tc>
        <w:tc>
          <w:tcPr/>
          <w:p>
            <w:pPr>
              <w:pStyle w:val="Compact"/>
            </w:pPr>
            <w:r>
              <w:t xml:space="preserve">69,8</w:t>
            </w:r>
          </w:p>
        </w:tc>
        <w:tc>
          <w:tcPr/>
          <w:p>
            <w:pPr>
              <w:pStyle w:val="Compact"/>
            </w:pPr>
            <w:r>
              <w:t xml:space="preserve">29,1</w:t>
            </w:r>
          </w:p>
        </w:tc>
        <w:tc>
          <w:tcPr/>
          <w:p>
            <w:pPr>
              <w:pStyle w:val="Compact"/>
            </w:pPr>
            <w:r>
              <w:rPr>
                <w:b/>
                <w:bCs/>
              </w:rPr>
              <w:t xml:space="preserve">28,6</w:t>
            </w:r>
          </w:p>
        </w:tc>
        <w:tc>
          <w:tcPr/>
          <w:p>
            <w:pPr>
              <w:pStyle w:val="Compact"/>
            </w:pPr>
            <w:r>
              <w:t xml:space="preserve">52,3</w:t>
            </w:r>
          </w:p>
        </w:tc>
      </w:tr>
      <w:tr>
        <w:tc>
          <w:tcPr/>
          <w:p>
            <w:pPr>
              <w:pStyle w:val="Compact"/>
            </w:pPr>
            <w:r>
              <w:t xml:space="preserve">MENA</w:t>
            </w:r>
          </w:p>
        </w:tc>
        <w:tc>
          <w:tcPr/>
          <w:p>
            <w:pPr>
              <w:pStyle w:val="Compact"/>
            </w:pPr>
            <w:r>
              <w:t xml:space="preserve">12</w:t>
            </w:r>
          </w:p>
        </w:tc>
        <w:tc>
          <w:tcPr/>
          <w:p>
            <w:pPr>
              <w:pStyle w:val="Compact"/>
            </w:pPr>
            <w:r>
              <w:t xml:space="preserve">68,4</w:t>
            </w:r>
          </w:p>
        </w:tc>
        <w:tc>
          <w:tcPr/>
          <w:p>
            <w:pPr>
              <w:pStyle w:val="Compact"/>
            </w:pPr>
            <w:r>
              <w:t xml:space="preserve">18,2</w:t>
            </w:r>
          </w:p>
        </w:tc>
        <w:tc>
          <w:tcPr/>
          <w:p>
            <w:pPr>
              <w:pStyle w:val="Compact"/>
            </w:pPr>
            <w:r>
              <w:t xml:space="preserve">25,1</w:t>
            </w:r>
          </w:p>
        </w:tc>
        <w:tc>
          <w:tcPr/>
          <w:p>
            <w:pPr>
              <w:pStyle w:val="Compact"/>
            </w:pPr>
            <w:r>
              <w:t xml:space="preserve">31,7</w:t>
            </w:r>
          </w:p>
        </w:tc>
      </w:tr>
      <w:tr>
        <w:tc>
          <w:tcPr/>
          <w:p>
            <w:pPr>
              <w:pStyle w:val="Compact"/>
            </w:pPr>
            <w:r>
              <w:t xml:space="preserve">LATAM</w:t>
            </w:r>
          </w:p>
        </w:tc>
        <w:tc>
          <w:tcPr/>
          <w:p>
            <w:pPr>
              <w:pStyle w:val="Compact"/>
            </w:pPr>
            <w:r>
              <w:t xml:space="preserve">10</w:t>
            </w:r>
          </w:p>
        </w:tc>
        <w:tc>
          <w:tcPr/>
          <w:p>
            <w:pPr>
              <w:pStyle w:val="Compact"/>
            </w:pPr>
            <w:r>
              <w:t xml:space="preserve">67,2</w:t>
            </w:r>
          </w:p>
        </w:tc>
        <w:tc>
          <w:tcPr/>
          <w:p>
            <w:pPr>
              <w:pStyle w:val="Compact"/>
            </w:pPr>
            <w:r>
              <w:t xml:space="preserve">19,8</w:t>
            </w:r>
          </w:p>
        </w:tc>
        <w:tc>
          <w:tcPr/>
          <w:p>
            <w:pPr>
              <w:pStyle w:val="Compact"/>
            </w:pPr>
            <w:r>
              <w:t xml:space="preserve">24,3</w:t>
            </w:r>
          </w:p>
        </w:tc>
        <w:tc>
          <w:tcPr/>
          <w:p>
            <w:pPr>
              <w:pStyle w:val="Compact"/>
            </w:pPr>
            <w:r>
              <w:t xml:space="preserve">22,1</w:t>
            </w:r>
          </w:p>
        </w:tc>
      </w:tr>
      <w:tr>
        <w:tc>
          <w:tcPr/>
          <w:p>
            <w:pPr>
              <w:pStyle w:val="Compact"/>
            </w:pPr>
            <w:r>
              <w:t xml:space="preserve">APAC-Em</w:t>
            </w:r>
          </w:p>
        </w:tc>
        <w:tc>
          <w:tcPr/>
          <w:p>
            <w:pPr>
              <w:pStyle w:val="Compact"/>
            </w:pPr>
            <w:r>
              <w:t xml:space="preserve">9</w:t>
            </w:r>
          </w:p>
        </w:tc>
        <w:tc>
          <w:tcPr/>
          <w:p>
            <w:pPr>
              <w:pStyle w:val="Compact"/>
            </w:pPr>
            <w:r>
              <w:t xml:space="preserve">66,8</w:t>
            </w:r>
          </w:p>
        </w:tc>
        <w:tc>
          <w:tcPr/>
          <w:p>
            <w:pPr>
              <w:pStyle w:val="Compact"/>
            </w:pPr>
            <w:r>
              <w:t xml:space="preserve">31,4</w:t>
            </w:r>
          </w:p>
        </w:tc>
        <w:tc>
          <w:tcPr/>
          <w:p>
            <w:pPr>
              <w:pStyle w:val="Compact"/>
            </w:pPr>
            <w:r>
              <w:t xml:space="preserve">27,9</w:t>
            </w:r>
          </w:p>
        </w:tc>
        <w:tc>
          <w:tcPr/>
          <w:p>
            <w:pPr>
              <w:pStyle w:val="Compact"/>
            </w:pPr>
            <w:r>
              <w:t xml:space="preserve">18,5</w:t>
            </w:r>
          </w:p>
        </w:tc>
      </w:tr>
      <w:tr>
        <w:tc>
          <w:tcPr/>
          <w:p>
            <w:pPr>
              <w:pStyle w:val="Compact"/>
            </w:pPr>
            <w:r>
              <w:t xml:space="preserve">Africa</w:t>
            </w:r>
          </w:p>
        </w:tc>
        <w:tc>
          <w:tcPr/>
          <w:p>
            <w:pPr>
              <w:pStyle w:val="Compact"/>
            </w:pPr>
            <w:r>
              <w:t xml:space="preserve">14</w:t>
            </w:r>
          </w:p>
        </w:tc>
        <w:tc>
          <w:tcPr/>
          <w:p>
            <w:pPr>
              <w:pStyle w:val="Compact"/>
            </w:pPr>
            <w:r>
              <w:t xml:space="preserve">66,1</w:t>
            </w:r>
          </w:p>
        </w:tc>
        <w:tc>
          <w:tcPr/>
          <w:p>
            <w:pPr>
              <w:pStyle w:val="Compact"/>
            </w:pPr>
            <w:r>
              <w:t xml:space="preserve">8,4</w:t>
            </w:r>
          </w:p>
        </w:tc>
        <w:tc>
          <w:tcPr/>
          <w:p>
            <w:pPr>
              <w:pStyle w:val="Compact"/>
            </w:pPr>
            <w:r>
              <w:t xml:space="preserve">25,8</w:t>
            </w:r>
          </w:p>
        </w:tc>
        <w:tc>
          <w:tcPr/>
          <w:p>
            <w:pPr>
              <w:pStyle w:val="Compact"/>
            </w:pPr>
            <w:r>
              <w:t xml:space="preserve">12,3</w:t>
            </w:r>
          </w:p>
        </w:tc>
      </w:tr>
      <w:tr>
        <w:tc>
          <w:tcPr/>
          <w:p>
            <w:pPr>
              <w:pStyle w:val="Compact"/>
            </w:pPr>
            <w:r>
              <w:t xml:space="preserve">EU-East</w:t>
            </w:r>
          </w:p>
        </w:tc>
        <w:tc>
          <w:tcPr/>
          <w:p>
            <w:pPr>
              <w:pStyle w:val="Compact"/>
            </w:pPr>
            <w:r>
              <w:t xml:space="preserve">12</w:t>
            </w:r>
          </w:p>
        </w:tc>
        <w:tc>
          <w:tcPr/>
          <w:p>
            <w:pPr>
              <w:pStyle w:val="Compact"/>
            </w:pPr>
            <w:r>
              <w:rPr>
                <w:b/>
                <w:bCs/>
              </w:rPr>
              <w:t xml:space="preserve">65,3</w:t>
            </w:r>
          </w:p>
        </w:tc>
        <w:tc>
          <w:tcPr/>
          <w:p>
            <w:pPr>
              <w:pStyle w:val="Compact"/>
            </w:pPr>
            <w:r>
              <w:t xml:space="preserve">14,9</w:t>
            </w:r>
          </w:p>
        </w:tc>
        <w:tc>
          <w:tcPr/>
          <w:p>
            <w:pPr>
              <w:pStyle w:val="Compact"/>
            </w:pPr>
            <w:r>
              <w:t xml:space="preserve">31,2</w:t>
            </w:r>
          </w:p>
        </w:tc>
        <w:tc>
          <w:tcPr/>
          <w:p>
            <w:pPr>
              <w:pStyle w:val="Compact"/>
            </w:pPr>
            <w:r>
              <w:t xml:space="preserve">28,9</w:t>
            </w:r>
          </w:p>
        </w:tc>
      </w:tr>
    </w:tbl>
    <w:bookmarkEnd w:id="19"/>
    <w:bookmarkStart w:id="20" w:name="tests-statistiques-inter-régionaux"/>
    <w:p>
      <w:pPr>
        <w:pStyle w:val="Heading3"/>
      </w:pPr>
      <w:r>
        <w:t xml:space="preserve">Tests statistiques inter-régionaux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Statistique</w:t>
            </w:r>
          </w:p>
        </w:tc>
        <w:tc>
          <w:tcPr/>
          <w:p>
            <w:pPr>
              <w:pStyle w:val="Compact"/>
            </w:pPr>
            <w:r>
              <w:t xml:space="preserve">p-value</w:t>
            </w:r>
          </w:p>
        </w:tc>
        <w:tc>
          <w:tcPr/>
          <w:p>
            <w:pPr>
              <w:pStyle w:val="Compact"/>
            </w:pPr>
            <w:r>
              <w:t xml:space="preserve">Significatif</w:t>
            </w:r>
          </w:p>
        </w:tc>
      </w:tr>
      <w:tr>
        <w:tc>
          <w:tcPr/>
          <w:p>
            <w:pPr>
              <w:pStyle w:val="Compact"/>
            </w:pPr>
            <w:r>
              <w:t xml:space="preserve">ANOVA (TLS 1.3)</w:t>
            </w:r>
          </w:p>
        </w:tc>
        <w:tc>
          <w:tcPr/>
          <w:p>
            <w:pPr>
              <w:pStyle w:val="Compact"/>
            </w:pPr>
            <w:r>
              <w:t xml:space="preserve">F = 1,51</w:t>
            </w:r>
          </w:p>
        </w:tc>
        <w:tc>
          <w:tcPr/>
          <w:p>
            <w:pPr>
              <w:pStyle w:val="Compact"/>
            </w:pPr>
            <w:r>
              <w:t xml:space="preserve">0,1526</w:t>
            </w:r>
          </w:p>
        </w:tc>
        <w:tc>
          <w:tcPr/>
          <w:p>
            <w:pPr>
              <w:pStyle w:val="Compact"/>
            </w:pPr>
            <w:r>
              <w:t xml:space="preserve">Non</w:t>
            </w:r>
          </w:p>
        </w:tc>
      </w:tr>
      <w:tr>
        <w:tc>
          <w:tcPr/>
          <w:p>
            <w:pPr>
              <w:pStyle w:val="Compact"/>
            </w:pPr>
            <w:r>
              <w:t xml:space="preserve">Kruskal-Wallis (TLS 1.3)</w:t>
            </w:r>
          </w:p>
        </w:tc>
        <w:tc>
          <w:tcPr/>
          <w:p>
            <w:pPr>
              <w:pStyle w:val="Compact"/>
            </w:pPr>
            <w:r>
              <w:t xml:space="preserve">H = 19,83</w:t>
            </w:r>
          </w:p>
        </w:tc>
        <w:tc>
          <w:tcPr/>
          <w:p>
            <w:pPr>
              <w:pStyle w:val="Compact"/>
            </w:pPr>
            <w:r>
              <w:rPr>
                <w:b/>
                <w:bCs/>
              </w:rPr>
              <w:t xml:space="preserve">0,0110</w:t>
            </w:r>
          </w:p>
        </w:tc>
        <w:tc>
          <w:tcPr/>
          <w:p>
            <w:pPr>
              <w:pStyle w:val="Compact"/>
            </w:pPr>
            <w:r>
              <w:t xml:space="preserve">Oui</w:t>
            </w:r>
          </w:p>
        </w:tc>
      </w:tr>
    </w:tbl>
    <w:p>
      <w:pPr>
        <w:pStyle w:val="BodyText"/>
      </w:pPr>
      <w:r>
        <w:t xml:space="preserve">La significativité du test non-paramétrique malgré l’absence de significativité ANOVA suggère l’existence de pays extrêmes (outliers) qui perturbent la distribution normale dans certaines régions.</w:t>
      </w:r>
    </w:p>
    <w:bookmarkEnd w:id="20"/>
    <w:bookmarkStart w:id="21" w:name="top-5-bottom-5-pays-tls-1.3"/>
    <w:p>
      <w:pPr>
        <w:pStyle w:val="Heading3"/>
      </w:pPr>
      <w:r>
        <w:t xml:space="preserve">Top 5 / Bottom 5 pays (TLS 1.3)</w:t>
      </w:r>
    </w:p>
    <w:p>
      <w:pPr>
        <w:pStyle w:val="FirstParagraph"/>
      </w:pPr>
      <w:r>
        <w:rPr>
          <w:b/>
          <w:bCs/>
        </w:rPr>
        <w:t xml:space="preserve">Top 5 :</w:t>
      </w:r>
      <w:r>
        <w:t xml:space="preserve"> </w:t>
      </w:r>
      <w:r>
        <w:t xml:space="preserve">pays avec adoption TLS 1.3 &gt; 80 % appartenant majoritairement à EU-West et NA.</w:t>
      </w:r>
      <w:r>
        <w:t xml:space="preserve"> </w:t>
      </w:r>
      <w:r>
        <w:rPr>
          <w:b/>
          <w:bCs/>
        </w:rPr>
        <w:t xml:space="preserve">Bottom 5 :</w:t>
      </w:r>
      <w:r>
        <w:t xml:space="preserve"> </w:t>
      </w:r>
      <w:r>
        <w:t xml:space="preserve">IM (Île de Man, 49,9 %), IO (Territoire britannique de l’océan Indien, 50,0 %), SO (Somalie, 53,5 %), GE (Géorgie, 53,8 %), LA (Laos, 54,5 %).</w:t>
      </w:r>
    </w:p>
    <w:bookmarkEnd w:id="21"/>
    <w:bookmarkEnd w:id="22"/>
    <w:bookmarkStart w:id="23" w:name="discussion"/>
    <w:p>
      <w:pPr>
        <w:pStyle w:val="Heading2"/>
      </w:pPr>
      <w:r>
        <w:t xml:space="preserve">Discussion</w:t>
      </w:r>
    </w:p>
    <w:p>
      <w:pPr>
        <w:pStyle w:val="FirstParagraph"/>
      </w:pPr>
      <w:r>
        <w:t xml:space="preserve">Le fait que l’Amérique du Nord domine sur TLS 1.3 (71,9 %) s’explique largement par le poids des grands cloud providers américains (Amazon Web Services, Google, Cloudflare, Microsoft Azure) qui imposent TLS 1.3 par défaut sur leurs CDN mondiaux. L’Europe de l’Ouest montre la meilleure adoption IPv6 (38,6 %), reflétant la pression réglementaire de l’UE et la quasi-saturation de l’espace IPv4 en Europe.</w:t>
      </w:r>
    </w:p>
    <w:p>
      <w:pPr>
        <w:pStyle w:val="BodyText"/>
      </w:pPr>
      <w:r>
        <w:t xml:space="preserve">Le résultat paradoxal d’EU-East pour HTTP/3 (31,2 %, meilleur score) pourrait s’expliquer par une infrastructure haut débit récente (saut technologique) ayant directement adopté les derniers protocoles sans passer par les couches intermédiaires. L’Afrique sous-subsaharienne présente le taux IPv6 le plus faible (8,4 %), confirmant la dépendance à des infrastructures vieillissantes.</w:t>
      </w:r>
    </w:p>
    <w:bookmarkEnd w:id="23"/>
    <w:bookmarkStart w:id="24" w:name="conclusion"/>
    <w:p>
      <w:pPr>
        <w:pStyle w:val="Heading2"/>
      </w:pPr>
      <w:r>
        <w:t xml:space="preserve">Conclusion</w:t>
      </w:r>
    </w:p>
    <w:p>
      <w:pPr>
        <w:pStyle w:val="FirstParagraph"/>
      </w:pPr>
      <w:r>
        <w:t xml:space="preserve">Cette analyse confirme l’existence de disparités géopolitiques significatives dans l’adoption des protocoles de sécurité internet. L’écart entre la meilleure (NA, 71,9 %) et la plus faible (EU-East, 65,3 %) région pour TLS 1.3 peut sembler modeste, mais dissimule des situations extrêmes individuelles (pays à moins de 50 %). Ces résultats plaident pour des politiques publiques ciblées d’adoption protocolaire dans les régions en retard.</w:t>
      </w:r>
    </w:p>
    <w:p>
      <w:r>
        <w:pict>
          <v:rect style="width:0;height:1.5pt" o:hralign="center" o:hrstd="t" o:hr="t"/>
        </w:pict>
      </w:r>
    </w:p>
    <w:p>
      <w:pPr>
        <w:pStyle w:val="FirstParagraph"/>
      </w:pPr>
      <w:r>
        <w:rPr>
          <w:i/>
          <w:iCs/>
        </w:rPr>
        <w:t xml:space="preserve">Issakha Thiam — Issakha.THIAM@uca.fr</w:t>
      </w:r>
    </w:p>
    <w:bookmarkEnd w:id="24"/>
    <w:bookmarkEnd w:id="25"/>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2026-06-17T14:17:26Z</dcterms:created>
  <dcterms:modified xsi:type="dcterms:W3CDTF">2026-06-17T14:17:26Z</dcterms:modified>
</cp:coreProperties>
</file>

<file path=docProps/custom.xml><?xml version="1.0" encoding="utf-8"?>
<Properties xmlns="http://schemas.openxmlformats.org/officeDocument/2006/custom-properties" xmlns:vt="http://schemas.openxmlformats.org/officeDocument/2006/docPropsVTypes"/>
</file>