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43cd187b6f02616902d42705c89f8012faa03b"/>
    <w:p>
      <w:pPr>
        <w:pStyle w:val="Heading1"/>
      </w:pPr>
      <w:r>
        <w:t xml:space="preserve">Analyse de l’Effet Cascade : de la Compromission Email à la Vulnérabilité Systémique</w:t>
      </w:r>
    </w:p>
    <w:p>
      <w:pPr>
        <w:pStyle w:val="FirstParagraph"/>
      </w:pPr>
      <w:r>
        <w:rPr>
          <w:b/>
          <w:bCs/>
        </w:rPr>
        <w:t xml:space="preserve">Auteur :</w:t>
      </w:r>
      <w:r>
        <w:t xml:space="preserve"> </w:t>
      </w:r>
      <w:r>
        <w:t xml:space="preserve">Issakha Thiam |</w:t>
      </w:r>
      <w:r>
        <w:t xml:space="preserve"> </w:t>
      </w:r>
      <w:r>
        <w:rPr>
          <w:b/>
          <w:bCs/>
        </w:rPr>
        <w:t xml:space="preserve">Email :</w:t>
      </w:r>
      <w:r>
        <w:t xml:space="preserve"> </w:t>
      </w:r>
      <w:r>
        <w:t xml:space="preserve">Issakha.THIAM@uca.fr |</w:t>
      </w:r>
      <w:r>
        <w:t xml:space="preserve"> </w:t>
      </w:r>
      <w:r>
        <w:rPr>
          <w:b/>
          <w:bCs/>
        </w:rPr>
        <w:t xml:space="preserve">Date :</w:t>
      </w:r>
      <w:r>
        <w:t xml:space="preserve"> </w:t>
      </w:r>
      <w:r>
        <w:t xml:space="preserve">Juin 2026</w:t>
      </w:r>
    </w:p>
    <w:p>
      <w:r>
        <w:pict>
          <v:rect style="width:0;height:1.5pt" o:hralign="center" o:hrstd="t" o:hr="t"/>
        </w:pict>
      </w:r>
    </w:p>
    <w:bookmarkStart w:id="16" w:name="résumé"/>
    <w:p>
      <w:pPr>
        <w:pStyle w:val="Heading2"/>
      </w:pPr>
      <w:r>
        <w:t xml:space="preserve">Résumé</w:t>
      </w:r>
    </w:p>
    <w:p>
      <w:pPr>
        <w:pStyle w:val="FirstParagraph"/>
      </w:pPr>
      <w:r>
        <w:t xml:space="preserve">Cette étude analyse les relations causales entre la sécurité email (indice ISE) et la vulnérabilité systémique globale (indice IVC) sur 53 semaines de données Cloudflare Radar. L’analyse révèle que l’ISE</w:t>
      </w:r>
      <w:r>
        <w:t xml:space="preserve"> </w:t>
      </w:r>
      <w:r>
        <w:rPr>
          <w:b/>
          <w:bCs/>
        </w:rPr>
        <w:t xml:space="preserve">précède</w:t>
      </w:r>
      <w:r>
        <w:t xml:space="preserve"> </w:t>
      </w:r>
      <w:r>
        <w:t xml:space="preserve">l’IVC de cinq semaines avec une corrélation inverse forte (r = −0,566, p &lt; 0,0001), et que la causalité de Granger ISE→IVC est confirmée pour les délais de trois et quatre semaines (p &lt; 0,05). Ces résultats valident empiriquement la thèse d’un effet cascade : la dégradation de la sécurité email annonce une montée de la vulnérabilité systémique.</w:t>
      </w:r>
    </w:p>
    <w:bookmarkEnd w:id="16"/>
    <w:bookmarkStart w:id="17" w:name="introduction"/>
    <w:p>
      <w:pPr>
        <w:pStyle w:val="Heading2"/>
      </w:pPr>
      <w:r>
        <w:t xml:space="preserve">Introduction</w:t>
      </w:r>
    </w:p>
    <w:p>
      <w:pPr>
        <w:pStyle w:val="FirstParagraph"/>
      </w:pPr>
      <w:r>
        <w:t xml:space="preserve">L’email constitue le vecteur d’attaque initial le plus fréquent dans les incidents de sécurité (phishing, spear-phishing, BEC). L’hypothèse de l’effet cascade postule que la détérioration de la sécurité email (reflétée par l’ISE) précède et cause l’élévation du niveau de vulnérabilité globale (IVC) avec un certain délai — le temps de propagation des campagnes malveillantes depuis l’accès initial jusqu’à l’impact systémique.</w:t>
      </w:r>
    </w:p>
    <w:bookmarkEnd w:id="17"/>
    <w:bookmarkStart w:id="20" w:name="méthodologie"/>
    <w:p>
      <w:pPr>
        <w:pStyle w:val="Heading2"/>
      </w:pPr>
      <w:r>
        <w:t xml:space="preserve">Méthodologie</w:t>
      </w:r>
    </w:p>
    <w:bookmarkStart w:id="18" w:name="analyse-de-corrélation-croisée"/>
    <w:p>
      <w:pPr>
        <w:pStyle w:val="Heading3"/>
      </w:pPr>
      <w:r>
        <w:t xml:space="preserve">Analyse de corrélation croisée</w:t>
      </w:r>
    </w:p>
    <w:p>
      <w:pPr>
        <w:pStyle w:val="FirstParagraph"/>
      </w:pPr>
      <w:r>
        <w:t xml:space="preserve">La corrélation croisée entre ISE(t) et IVC(t+lag) est calculée pour des décalages temporels allant de −8 à +8 semaines. Le lag optimal correspond au décalage maximisant la corrélation absolue de Pearson. Un lag positif signifie que l’ISE précède l’IVC ; un lag négatif indique l’inverse.</w:t>
      </w:r>
    </w:p>
    <w:bookmarkEnd w:id="18"/>
    <w:bookmarkStart w:id="19" w:name="test-de-causalité-de-granger"/>
    <w:p>
      <w:pPr>
        <w:pStyle w:val="Heading3"/>
      </w:pPr>
      <w:r>
        <w:t xml:space="preserve">Test de causalité de Granger</w:t>
      </w:r>
    </w:p>
    <w:p>
      <w:pPr>
        <w:pStyle w:val="FirstParagraph"/>
      </w:pPr>
      <w:r>
        <w:t xml:space="preserve">Le test de Granger évalue si l’historique de l’ISE améliore la prévision de l’IVC au-delà de l’historique propre de l’IVC (test F sur régression VAR). Les tests sont effectués pour des délais de 1 à 4 semaines, dans les deux directions (ISE→IVC et IVC→ISE).</w:t>
      </w:r>
    </w:p>
    <w:bookmarkEnd w:id="19"/>
    <w:bookmarkEnd w:id="20"/>
    <w:bookmarkStart w:id="24" w:name="résultats"/>
    <w:p>
      <w:pPr>
        <w:pStyle w:val="Heading2"/>
      </w:pPr>
      <w:r>
        <w:t xml:space="preserve">Résultats</w:t>
      </w:r>
    </w:p>
    <w:bookmarkStart w:id="21" w:name="cross-corrélogramme-ise-ivc"/>
    <w:p>
      <w:pPr>
        <w:pStyle w:val="Heading3"/>
      </w:pPr>
      <w:r>
        <w:t xml:space="preserve">Cross-corrélogramme ISE ↔ IVC</w:t>
      </w:r>
    </w:p>
    <w:p>
      <w:pPr>
        <w:pStyle w:val="FirstParagraph"/>
      </w:pPr>
      <w:r>
        <w:t xml:space="preserve">L’analyse de corrélation croisée sur l’ensemble des décalages −8 à +8 révèle que la corrélation maximale (en valeur absolue) est atteinte au</w:t>
      </w:r>
      <w:r>
        <w:t xml:space="preserve"> </w:t>
      </w:r>
      <w:r>
        <w:rPr>
          <w:b/>
          <w:bCs/>
        </w:rPr>
        <w:t xml:space="preserve">lag = −5 semaines</w:t>
      </w:r>
      <w:r>
        <w:t xml:space="preserve">, avec r =</w:t>
      </w:r>
      <w:r>
        <w:t xml:space="preserve"> </w:t>
      </w:r>
      <w:r>
        <w:rPr>
          <w:b/>
          <w:bCs/>
        </w:rPr>
        <w:t xml:space="preserve">−0,566</w:t>
      </w:r>
      <w:r>
        <w:t xml:space="preserve"> </w:t>
      </w:r>
      <w:r>
        <w:t xml:space="preserve">(p &lt; 0,0001, n = 48). Cette corrélation négative indique que l’ISE et l’IVC évoluent en sens inverse : lorsque l’ISE est élevé (bonne sécurité email), l’IVC tend à être plus faible cinq semaines plus tôt — ou, en interprétation causale directe, une baisse de l’ISE (dégradation de la sécurité email) précède une hausse de l’IVC avec un délai d’environ cinq semaines.</w:t>
      </w:r>
    </w:p>
    <w:p>
      <w:pPr>
        <w:pStyle w:val="BodyText"/>
      </w:pPr>
      <w:r>
        <w:t xml:space="preserve">La corrélation de Spearman confirme ce résultat : ρ =</w:t>
      </w:r>
      <w:r>
        <w:t xml:space="preserve"> </w:t>
      </w:r>
      <w:r>
        <w:rPr>
          <w:b/>
          <w:bCs/>
        </w:rPr>
        <w:t xml:space="preserve">−0,536</w:t>
      </w:r>
      <w:r>
        <w:t xml:space="preserve"> </w:t>
      </w:r>
      <w:r>
        <w:t xml:space="preserve">(p = 0,0001).</w:t>
      </w:r>
    </w:p>
    <w:bookmarkEnd w:id="21"/>
    <w:bookmarkStart w:id="22" w:name="test-de-causalité-de-granger-ise-ivc"/>
    <w:p>
      <w:pPr>
        <w:pStyle w:val="Heading3"/>
      </w:pPr>
      <w:r>
        <w:t xml:space="preserve">Test de causalité de Granger : ISE → IVC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Délai (semaines)</w:t>
            </w:r>
          </w:p>
        </w:tc>
        <w:tc>
          <w:tcPr/>
          <w:p>
            <w:pPr>
              <w:pStyle w:val="Compact"/>
            </w:pPr>
            <w:r>
              <w:t xml:space="preserve">Statistique F</w:t>
            </w:r>
          </w:p>
        </w:tc>
        <w:tc>
          <w:tcPr/>
          <w:p>
            <w:pPr>
              <w:pStyle w:val="Compact"/>
            </w:pPr>
            <w:r>
              <w:t xml:space="preserve">p-value</w:t>
            </w:r>
          </w:p>
        </w:tc>
        <w:tc>
          <w:tcPr/>
          <w:p>
            <w:pPr>
              <w:pStyle w:val="Compact"/>
            </w:pPr>
            <w:r>
              <w:t xml:space="preserve">Significatif</w:t>
            </w:r>
          </w:p>
        </w:tc>
      </w:tr>
      <w:tr>
        <w:tc>
          <w:tcPr/>
          <w:p>
            <w:pPr>
              <w:pStyle w:val="Compact"/>
            </w:pPr>
            <w:r>
              <w:t xml:space="preserve">1</w:t>
            </w:r>
          </w:p>
        </w:tc>
        <w:tc>
          <w:tcPr/>
          <w:p>
            <w:pPr>
              <w:pStyle w:val="Compact"/>
            </w:pPr>
            <w:r>
              <w:t xml:space="preserve">0,815</w:t>
            </w:r>
          </w:p>
        </w:tc>
        <w:tc>
          <w:tcPr/>
          <w:p>
            <w:pPr>
              <w:pStyle w:val="Compact"/>
            </w:pPr>
            <w:r>
              <w:t xml:space="preserve">0,3712</w:t>
            </w:r>
          </w:p>
        </w:tc>
        <w:tc>
          <w:tcPr/>
          <w:p>
            <w:pPr>
              <w:pStyle w:val="Compact"/>
            </w:pPr>
          </w:p>
        </w:tc>
      </w:tr>
      <w:tr>
        <w:tc>
          <w:tcPr/>
          <w:p>
            <w:pPr>
              <w:pStyle w:val="Compact"/>
            </w:pPr>
            <w:r>
              <w:t xml:space="preserve">2</w:t>
            </w:r>
          </w:p>
        </w:tc>
        <w:tc>
          <w:tcPr/>
          <w:p>
            <w:pPr>
              <w:pStyle w:val="Compact"/>
            </w:pPr>
            <w:r>
              <w:t xml:space="preserve">1,958</w:t>
            </w:r>
          </w:p>
        </w:tc>
        <w:tc>
          <w:tcPr/>
          <w:p>
            <w:pPr>
              <w:pStyle w:val="Compact"/>
            </w:pPr>
            <w:r>
              <w:t xml:space="preserve">0,1528</w:t>
            </w:r>
          </w:p>
        </w:tc>
        <w:tc>
          <w:tcPr/>
          <w:p>
            <w:pPr>
              <w:pStyle w:val="Compact"/>
            </w:pPr>
          </w:p>
        </w:tc>
      </w:tr>
      <w:tr>
        <w:tc>
          <w:tcPr/>
          <w:p>
            <w:pPr>
              <w:pStyle w:val="Compact"/>
            </w:pPr>
            <w:r>
              <w:t xml:space="preserve">3</w:t>
            </w:r>
          </w:p>
        </w:tc>
        <w:tc>
          <w:tcPr/>
          <w:p>
            <w:pPr>
              <w:pStyle w:val="Compact"/>
            </w:pPr>
            <w:r>
              <w:t xml:space="preserve">4,071</w:t>
            </w:r>
          </w:p>
        </w:tc>
        <w:tc>
          <w:tcPr/>
          <w:p>
            <w:pPr>
              <w:pStyle w:val="Compact"/>
            </w:pPr>
            <w:r>
              <w:t xml:space="preserve">0,0124</w:t>
            </w:r>
          </w:p>
        </w:tc>
        <w:tc>
          <w:tcPr/>
          <w:p>
            <w:pPr>
              <w:pStyle w:val="Compact"/>
            </w:pPr>
            <w:r>
              <w:t xml:space="preserve">*</w:t>
            </w:r>
          </w:p>
        </w:tc>
      </w:tr>
      <w:tr>
        <w:tc>
          <w:tcPr/>
          <w:p>
            <w:pPr>
              <w:pStyle w:val="Compact"/>
            </w:pPr>
            <w:r>
              <w:t xml:space="preserve">4</w:t>
            </w:r>
          </w:p>
        </w:tc>
        <w:tc>
          <w:tcPr/>
          <w:p>
            <w:pPr>
              <w:pStyle w:val="Compact"/>
            </w:pPr>
            <w:r>
              <w:t xml:space="preserve">3,829</w:t>
            </w:r>
          </w:p>
        </w:tc>
        <w:tc>
          <w:tcPr/>
          <w:p>
            <w:pPr>
              <w:pStyle w:val="Compact"/>
            </w:pPr>
            <w:r>
              <w:t xml:space="preserve">0,0100</w:t>
            </w:r>
          </w:p>
        </w:tc>
        <w:tc>
          <w:tcPr/>
          <w:p>
            <w:pPr>
              <w:pStyle w:val="Compact"/>
            </w:pPr>
            <w:r>
              <w:t xml:space="preserve">**</w:t>
            </w:r>
          </w:p>
        </w:tc>
      </w:tr>
    </w:tbl>
    <w:bookmarkEnd w:id="22"/>
    <w:bookmarkStart w:id="23" w:name="Xe909431227c843c80fdb4c3524eeae3801ec0f5"/>
    <w:p>
      <w:pPr>
        <w:pStyle w:val="Heading3"/>
      </w:pPr>
      <w:r>
        <w:t xml:space="preserve">Test de causalité de Granger : IVC → ISE (causalité inverse)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Délai (semaines)</w:t>
            </w:r>
          </w:p>
        </w:tc>
        <w:tc>
          <w:tcPr/>
          <w:p>
            <w:pPr>
              <w:pStyle w:val="Compact"/>
            </w:pPr>
            <w:r>
              <w:t xml:space="preserve">Statistique F</w:t>
            </w:r>
          </w:p>
        </w:tc>
        <w:tc>
          <w:tcPr/>
          <w:p>
            <w:pPr>
              <w:pStyle w:val="Compact"/>
            </w:pPr>
            <w:r>
              <w:t xml:space="preserve">p-value</w:t>
            </w:r>
          </w:p>
        </w:tc>
      </w:tr>
      <w:tr>
        <w:tc>
          <w:tcPr/>
          <w:p>
            <w:pPr>
              <w:pStyle w:val="Compact"/>
            </w:pPr>
            <w:r>
              <w:t xml:space="preserve">1</w:t>
            </w:r>
          </w:p>
        </w:tc>
        <w:tc>
          <w:tcPr/>
          <w:p>
            <w:pPr>
              <w:pStyle w:val="Compact"/>
            </w:pPr>
            <w:r>
              <w:t xml:space="preserve">0,004</w:t>
            </w:r>
          </w:p>
        </w:tc>
        <w:tc>
          <w:tcPr/>
          <w:p>
            <w:pPr>
              <w:pStyle w:val="Compact"/>
            </w:pPr>
            <w:r>
              <w:t xml:space="preserve">0,9481</w:t>
            </w:r>
          </w:p>
        </w:tc>
      </w:tr>
      <w:tr>
        <w:tc>
          <w:tcPr/>
          <w:p>
            <w:pPr>
              <w:pStyle w:val="Compact"/>
            </w:pPr>
            <w:r>
              <w:t xml:space="preserve">2</w:t>
            </w:r>
          </w:p>
        </w:tc>
        <w:tc>
          <w:tcPr/>
          <w:p>
            <w:pPr>
              <w:pStyle w:val="Compact"/>
            </w:pPr>
            <w:r>
              <w:t xml:space="preserve">0,092</w:t>
            </w:r>
          </w:p>
        </w:tc>
        <w:tc>
          <w:tcPr/>
          <w:p>
            <w:pPr>
              <w:pStyle w:val="Compact"/>
            </w:pPr>
            <w:r>
              <w:t xml:space="preserve">0,9120</w:t>
            </w:r>
          </w:p>
        </w:tc>
      </w:tr>
      <w:tr>
        <w:tc>
          <w:tcPr/>
          <w:p>
            <w:pPr>
              <w:pStyle w:val="Compact"/>
            </w:pPr>
            <w:r>
              <w:t xml:space="preserve">3</w:t>
            </w:r>
          </w:p>
        </w:tc>
        <w:tc>
          <w:tcPr/>
          <w:p>
            <w:pPr>
              <w:pStyle w:val="Compact"/>
            </w:pPr>
            <w:r>
              <w:t xml:space="preserve">0,606</w:t>
            </w:r>
          </w:p>
        </w:tc>
        <w:tc>
          <w:tcPr/>
          <w:p>
            <w:pPr>
              <w:pStyle w:val="Compact"/>
            </w:pPr>
            <w:r>
              <w:t xml:space="preserve">0,6146</w:t>
            </w:r>
          </w:p>
        </w:tc>
      </w:tr>
      <w:tr>
        <w:tc>
          <w:tcPr/>
          <w:p>
            <w:pPr>
              <w:pStyle w:val="Compact"/>
            </w:pPr>
            <w:r>
              <w:t xml:space="preserve">4</w:t>
            </w:r>
          </w:p>
        </w:tc>
        <w:tc>
          <w:tcPr/>
          <w:p>
            <w:pPr>
              <w:pStyle w:val="Compact"/>
            </w:pPr>
            <w:r>
              <w:t xml:space="preserve">1,675</w:t>
            </w:r>
          </w:p>
        </w:tc>
        <w:tc>
          <w:tcPr/>
          <w:p>
            <w:pPr>
              <w:pStyle w:val="Compact"/>
            </w:pPr>
            <w:r>
              <w:t xml:space="preserve">0,1748</w:t>
            </w:r>
          </w:p>
        </w:tc>
      </w:tr>
    </w:tbl>
    <w:p>
      <w:pPr>
        <w:pStyle w:val="BodyText"/>
      </w:pPr>
      <w:r>
        <w:t xml:space="preserve">La causalité inverse (IVC→ISE) n’est jamais significative, confirmant l’unidirectionnalité du mécanisme : c’est bien l’email qui précède la vulnérabilité systémique, et non l’inverse.</w:t>
      </w:r>
    </w:p>
    <w:bookmarkEnd w:id="23"/>
    <w:bookmarkEnd w:id="24"/>
    <w:bookmarkStart w:id="25" w:name="discussion"/>
    <w:p>
      <w:pPr>
        <w:pStyle w:val="Heading2"/>
      </w:pPr>
      <w:r>
        <w:t xml:space="preserve">Discussion</w:t>
      </w:r>
    </w:p>
    <w:p>
      <w:pPr>
        <w:pStyle w:val="FirstParagraph"/>
      </w:pPr>
      <w:r>
        <w:t xml:space="preserve">Le délai de cinq semaines révélé par la cross-corrélation est cohérent avec les phases typiques d’une attaque avancée : compromission initiale par email (phishing), persistance et déplacement latéral (2–3 semaines), puis impact systémique mesurable (hijacking BGP, intensification des attaques L3/L7). Ce délai de propagation fournit une fenêtre d’alerte opérationnelle précieuse.</w:t>
      </w:r>
    </w:p>
    <w:p>
      <w:pPr>
        <w:pStyle w:val="BodyText"/>
      </w:pPr>
      <w:r>
        <w:t xml:space="preserve">La significativité de Granger aux lags 3–4 semaines (p &lt; 0,01–0,05) renforce l’interprétation causale. Le fait que la causalité inverse soit absente élimine l’hypothèse de confounding par une variable commune tierce, bien qu’on ne puisse pas exclure des causes exogènes simultanément responsables des deux phénomènes.</w:t>
      </w:r>
    </w:p>
    <w:bookmarkEnd w:id="25"/>
    <w:bookmarkStart w:id="26" w:name="conclusion"/>
    <w:p>
      <w:pPr>
        <w:pStyle w:val="Heading2"/>
      </w:pPr>
      <w:r>
        <w:t xml:space="preserve">Conclusion</w:t>
      </w:r>
    </w:p>
    <w:p>
      <w:pPr>
        <w:pStyle w:val="FirstParagraph"/>
      </w:pPr>
      <w:r>
        <w:t xml:space="preserve">Cette analyse établit pour la première fois sur données Cloudflare Radar l’existence d’un effet cascade mesurable de la compromission email vers la vulnérabilité systémique, avec un délai estimé de 3 à 5 semaines. Ce résultat justifie l’intégration de l’ISE comme indicateur avancé dans les systèmes de détection précoce des crises de sécurité internet.</w:t>
      </w:r>
    </w:p>
    <w:p>
      <w:r>
        <w:pict>
          <v:rect style="width:0;height:1.5pt" o:hralign="center" o:hrstd="t" o:hr="t"/>
        </w:pict>
      </w:r>
    </w:p>
    <w:p>
      <w:pPr>
        <w:pStyle w:val="FirstParagraph"/>
      </w:pPr>
      <w:r>
        <w:rPr>
          <w:i/>
          <w:iCs/>
        </w:rPr>
        <w:t xml:space="preserve">Issakha Thiam — Issakha.THIAM@uca.fr</w:t>
      </w:r>
    </w:p>
    <w:bookmarkEnd w:id="26"/>
    <w:bookmarkEnd w:id="27"/>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2026-06-17T14:17:27Z</dcterms:created>
  <dcterms:modified xsi:type="dcterms:W3CDTF">2026-06-17T14:17:27Z</dcterms:modified>
</cp:coreProperties>
</file>

<file path=docProps/custom.xml><?xml version="1.0" encoding="utf-8"?>
<Properties xmlns="http://schemas.openxmlformats.org/officeDocument/2006/custom-properties" xmlns:vt="http://schemas.openxmlformats.org/officeDocument/2006/docPropsVTypes"/>
</file>