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sz w:val="30"/>
          <w:szCs w:val="30"/>
        </w:rPr>
      </w:pPr>
      <w:r>
        <w:rPr>
          <w:b/>
          <w:color w:val="1E3A8A"/>
          <w:sz w:val="30"/>
          <w:szCs w:val="30"/>
        </w:rPr>
        <w:t>LegalBuddy: Empowering Citizens Through Accessible Legal Intelligence</w:t>
      </w:r>
    </w:p>
    <w:tbl>
      <w:tblPr>
        <w:tblW w:w="10944" w:type="dxa"/>
        <w:jc w:val="start"/>
        <w:tblInd w:w="0" w:type="dxa"/>
        <w:tblLayout w:type="fixed"/>
        <w:tblCellMar>
          <w:top w:w="0" w:type="dxa"/>
          <w:start w:w="0" w:type="dxa"/>
          <w:bottom w:w="0" w:type="dxa"/>
          <w:end w:w="0" w:type="dxa"/>
        </w:tblCellMar>
        <w:tblLook w:noHBand="0" w:noVBand="1" w:firstColumn="1" w:lastRow="0" w:lastColumn="0" w:firstRow="1" w:val="04a0"/>
      </w:tblPr>
      <w:tblGrid>
        <w:gridCol w:w="5472"/>
        <w:gridCol w:w="5472"/>
      </w:tblGrid>
      <w:tr>
        <w:trPr/>
        <w:tc>
          <w:tcPr>
            <w:tcW w:w="5472" w:type="dxa"/>
            <w:tcBorders/>
          </w:tcPr>
          <w:p>
            <w:pPr>
              <w:pStyle w:val="Normal"/>
              <w:spacing w:before="0" w:after="0"/>
              <w:rPr>
                <w:sz w:val="20"/>
                <w:szCs w:val="20"/>
              </w:rPr>
            </w:pPr>
            <w:r>
              <w:rPr>
                <w:b/>
                <w:color w:val="1E3A8A"/>
                <w:sz w:val="20"/>
                <w:szCs w:val="20"/>
              </w:rPr>
              <w:t xml:space="preserve">Applicant: </w:t>
            </w:r>
            <w:r>
              <w:rPr>
                <w:color w:val="1E293B"/>
                <w:sz w:val="20"/>
                <w:szCs w:val="20"/>
              </w:rPr>
              <w:t>Istiaqur Rahman Fuad</w:t>
            </w:r>
          </w:p>
        </w:tc>
        <w:tc>
          <w:tcPr>
            <w:tcW w:w="5472" w:type="dxa"/>
            <w:tcBorders/>
          </w:tcPr>
          <w:p>
            <w:pPr>
              <w:pStyle w:val="Normal"/>
              <w:spacing w:before="0" w:after="0"/>
              <w:rPr>
                <w:sz w:val="20"/>
                <w:szCs w:val="20"/>
              </w:rPr>
            </w:pPr>
            <w:r>
              <w:rPr>
                <w:b/>
                <w:color w:val="1E3A8A"/>
                <w:sz w:val="20"/>
                <w:szCs w:val="20"/>
              </w:rPr>
              <w:t xml:space="preserve">Email: </w:t>
            </w:r>
            <w:r>
              <w:rPr>
                <w:color w:val="1E293B"/>
                <w:sz w:val="20"/>
                <w:szCs w:val="20"/>
              </w:rPr>
              <w:t>istiaqurrahmanfuad@gmail.com</w:t>
            </w:r>
          </w:p>
        </w:tc>
      </w:tr>
    </w:tbl>
    <w:p>
      <w:pPr>
        <w:pStyle w:val="Normal"/>
        <w:spacing w:before="0" w:after="80"/>
        <w:rPr/>
      </w:pPr>
      <w:r>
        <w:rPr/>
      </w:r>
    </w:p>
    <w:p>
      <w:pPr>
        <w:pStyle w:val="Normal"/>
        <w:keepNext w:val="true"/>
        <w:spacing w:before="80" w:after="20"/>
        <w:rPr>
          <w:sz w:val="22"/>
          <w:szCs w:val="22"/>
        </w:rPr>
      </w:pPr>
      <w:r>
        <w:rPr>
          <w:b/>
          <w:color w:val="1E3A8A"/>
          <w:sz w:val="22"/>
          <w:szCs w:val="22"/>
        </w:rPr>
        <w:t>1. Vision</w:t>
      </w:r>
    </w:p>
    <w:p>
      <w:pPr>
        <w:pStyle w:val="Normal"/>
        <w:spacing w:lineRule="auto" w:line="252" w:before="0" w:after="20"/>
        <w:jc w:val="both"/>
        <w:rPr>
          <w:sz w:val="19"/>
          <w:szCs w:val="19"/>
        </w:rPr>
      </w:pPr>
      <w:r>
        <w:rPr>
          <w:color w:val="1E293B"/>
          <w:sz w:val="19"/>
          <w:szCs w:val="19"/>
        </w:rPr>
        <w:t>In 10 years, Bangladesh can become a model for digital civic empowerment. My vision is a society where every citizen, regardless of background, has instant access to legal knowledge. By using technology to democratize the law, we can enable people to understand their rights, confidently question authority, and ensure transparency in public and private institutions.</w:t>
      </w:r>
    </w:p>
    <w:p>
      <w:pPr>
        <w:pStyle w:val="Normal"/>
        <w:keepNext w:val="true"/>
        <w:spacing w:before="80" w:after="20"/>
        <w:rPr>
          <w:sz w:val="22"/>
          <w:szCs w:val="22"/>
        </w:rPr>
      </w:pPr>
      <w:r>
        <w:rPr>
          <w:b/>
          <w:color w:val="1E3A8A"/>
          <w:sz w:val="22"/>
          <w:szCs w:val="22"/>
        </w:rPr>
        <w:t>2. Problem / Opportunity</w:t>
      </w:r>
    </w:p>
    <w:p>
      <w:pPr>
        <w:pStyle w:val="Normal"/>
        <w:spacing w:lineRule="auto" w:line="252" w:before="0" w:after="20"/>
        <w:jc w:val="both"/>
        <w:rPr>
          <w:sz w:val="19"/>
          <w:szCs w:val="19"/>
        </w:rPr>
      </w:pPr>
      <w:r>
        <w:rPr>
          <w:color w:val="1E293B"/>
          <w:sz w:val="19"/>
          <w:szCs w:val="19"/>
        </w:rPr>
        <w:t>The legal system is largely inaccessible to the average person. Laws are complex, and past court judgments are difficult to search. For ordinary citizens, this information gap means they cannot easily identify when their rights are violated by administrative bodies or employers, leaving them unable to hold authorities accountable. Furthermore, legal counsel is prohibitively expensive for most, while even professionals lose countless hours to manual research, contributing to a backlog of over 4 million pending cases in our courts.</w:t>
      </w:r>
    </w:p>
    <w:p>
      <w:pPr>
        <w:pStyle w:val="Normal"/>
        <w:keepNext w:val="true"/>
        <w:spacing w:before="80" w:after="20"/>
        <w:rPr>
          <w:sz w:val="22"/>
          <w:szCs w:val="22"/>
        </w:rPr>
      </w:pPr>
      <w:r>
        <w:rPr>
          <w:b/>
          <w:color w:val="1E3A8A"/>
          <w:sz w:val="22"/>
          <w:szCs w:val="22"/>
        </w:rPr>
        <w:t>3. Proposed Solution</w:t>
      </w:r>
    </w:p>
    <w:p>
      <w:pPr>
        <w:pStyle w:val="Normal"/>
        <w:spacing w:lineRule="auto" w:line="252" w:before="0" w:after="20"/>
        <w:jc w:val="both"/>
        <w:rPr>
          <w:sz w:val="19"/>
          <w:szCs w:val="19"/>
        </w:rPr>
      </w:pPr>
      <w:r>
        <w:rPr>
          <w:color w:val="1E293B"/>
          <w:sz w:val="19"/>
          <w:szCs w:val="19"/>
        </w:rPr>
        <w:t>LegalBuddy is an AI platform designed to make legal knowledge accessible. Users can ask legal questions in plain language. Instead of relying on generalized AI that often guesses facts, LegalBuddy searches directly through a curated database of actual Bangladeshi statutes and Supreme Court judgments. It provides answers based strictly on these laws, offering exact section references and case citations. This ensures users get reliable information to understand their legal standing.</w:t>
      </w:r>
    </w:p>
    <w:p>
      <w:pPr>
        <w:pStyle w:val="Normal"/>
        <w:keepNext w:val="true"/>
        <w:spacing w:before="80" w:after="20"/>
        <w:rPr>
          <w:sz w:val="22"/>
          <w:szCs w:val="22"/>
        </w:rPr>
      </w:pPr>
      <w:r>
        <w:rPr>
          <w:b/>
          <w:color w:val="1E3A8A"/>
          <w:sz w:val="22"/>
          <w:szCs w:val="22"/>
        </w:rPr>
        <w:t>4. Technology / Innovation</w:t>
      </w:r>
    </w:p>
    <w:p>
      <w:pPr>
        <w:pStyle w:val="Normal"/>
        <w:spacing w:lineRule="auto" w:line="252" w:before="0" w:after="20"/>
        <w:jc w:val="both"/>
        <w:rPr>
          <w:sz w:val="19"/>
          <w:szCs w:val="19"/>
        </w:rPr>
      </w:pPr>
      <w:r>
        <w:rPr>
          <w:color w:val="1E293B"/>
          <w:sz w:val="19"/>
          <w:szCs w:val="19"/>
        </w:rPr>
        <w:t>The core innovation lies in adapting advanced AI to local linguistic nuances. LegalBuddy is powered by a custom-trained embedding model, triBne-e5-large. This proprietary model specifically bridges the gap between Bangla, English, and 'Banglish' (Bengali written in Latin script), allowing users to search complex legal concepts using their natural, everyday phrasing. By integrating this model into a localized Retrieval-Augmented Generation (RAG) architecture, the system accurately cross-references multi-lingual queries with our legal database, ensuring precise and reliable answers.</w:t>
      </w:r>
    </w:p>
    <w:p>
      <w:pPr>
        <w:pStyle w:val="Normal"/>
        <w:keepNext w:val="true"/>
        <w:spacing w:before="80" w:after="20"/>
        <w:rPr>
          <w:sz w:val="22"/>
          <w:szCs w:val="22"/>
        </w:rPr>
      </w:pPr>
      <w:r>
        <w:rPr>
          <w:b/>
          <w:color w:val="1E3A8A"/>
          <w:sz w:val="22"/>
          <w:szCs w:val="22"/>
        </w:rPr>
        <w:t>5. Business Model</w:t>
      </w:r>
    </w:p>
    <w:p>
      <w:pPr>
        <w:pStyle w:val="Normal"/>
        <w:spacing w:lineRule="auto" w:line="252" w:before="0" w:after="20"/>
        <w:rPr>
          <w:sz w:val="19"/>
          <w:szCs w:val="19"/>
        </w:rPr>
      </w:pPr>
      <w:r>
        <w:rPr>
          <w:color w:val="1E293B"/>
          <w:sz w:val="19"/>
          <w:szCs w:val="19"/>
        </w:rPr>
        <w:t>The platform will operate on a highly affordable subscription model tailored to the Bangladeshi market:</w:t>
      </w:r>
    </w:p>
    <w:tbl>
      <w:tblPr>
        <w:tblW w:w="10844" w:type="dxa"/>
        <w:jc w:val="start"/>
        <w:tblInd w:w="79" w:type="dxa"/>
        <w:tblLayout w:type="fixed"/>
        <w:tblCellMar>
          <w:top w:w="20" w:type="dxa"/>
          <w:start w:w="40" w:type="dxa"/>
          <w:bottom w:w="20" w:type="dxa"/>
          <w:end w:w="40" w:type="dxa"/>
        </w:tblCellMar>
        <w:tblLook w:noHBand="0" w:noVBand="1" w:firstColumn="1" w:lastRow="0" w:lastColumn="0" w:firstRow="1" w:val="04a0"/>
      </w:tblPr>
      <w:tblGrid>
        <w:gridCol w:w="4865"/>
        <w:gridCol w:w="5979"/>
      </w:tblGrid>
      <w:tr>
        <w:trPr/>
        <w:tc>
          <w:tcPr>
            <w:tcW w:w="4865" w:type="dxa"/>
            <w:tcBorders>
              <w:top w:val="single" w:sz="4" w:space="0" w:color="CBD5E1"/>
              <w:bottom w:val="single" w:sz="4" w:space="0" w:color="CBD5E1"/>
            </w:tcBorders>
            <w:shd w:fill="FFFFFF" w:val="clear"/>
          </w:tcPr>
          <w:p>
            <w:pPr>
              <w:pStyle w:val="Normal"/>
              <w:spacing w:lineRule="auto" w:line="252" w:before="0" w:after="0"/>
              <w:rPr>
                <w:sz w:val="19"/>
                <w:szCs w:val="19"/>
              </w:rPr>
            </w:pPr>
            <w:r>
              <w:rPr>
                <w:b/>
                <w:color w:val="1E293B"/>
                <w:sz w:val="19"/>
                <w:szCs w:val="19"/>
              </w:rPr>
              <w:t>Basic Tier (Free)</w:t>
            </w:r>
          </w:p>
        </w:tc>
        <w:tc>
          <w:tcPr>
            <w:tcW w:w="5979" w:type="dxa"/>
            <w:tcBorders>
              <w:top w:val="single" w:sz="4" w:space="0" w:color="CBD5E1"/>
              <w:bottom w:val="single" w:sz="4" w:space="0" w:color="CBD5E1"/>
            </w:tcBorders>
            <w:shd w:fill="FFFFFF" w:val="clear"/>
          </w:tcPr>
          <w:p>
            <w:pPr>
              <w:pStyle w:val="Normal"/>
              <w:spacing w:lineRule="auto" w:line="252" w:before="0" w:after="0"/>
              <w:rPr>
                <w:sz w:val="19"/>
                <w:szCs w:val="19"/>
              </w:rPr>
            </w:pPr>
            <w:r>
              <w:rPr>
                <w:color w:val="1E293B"/>
                <w:sz w:val="19"/>
                <w:szCs w:val="19"/>
              </w:rPr>
              <w:t>Allows citizens a limited number of monthly queries to learn about fundamental rights.</w:t>
            </w:r>
          </w:p>
        </w:tc>
      </w:tr>
      <w:tr>
        <w:trPr/>
        <w:tc>
          <w:tcPr>
            <w:tcW w:w="4865" w:type="dxa"/>
            <w:tcBorders>
              <w:top w:val="single" w:sz="4" w:space="0" w:color="CBD5E1"/>
              <w:bottom w:val="single" w:sz="4" w:space="0" w:color="CBD5E1"/>
            </w:tcBorders>
            <w:shd w:fill="F8FAFC" w:val="clear"/>
          </w:tcPr>
          <w:p>
            <w:pPr>
              <w:pStyle w:val="Normal"/>
              <w:spacing w:lineRule="auto" w:line="252" w:before="0" w:after="0"/>
              <w:rPr>
                <w:sz w:val="19"/>
                <w:szCs w:val="19"/>
              </w:rPr>
            </w:pPr>
            <w:r>
              <w:rPr>
                <w:b/>
                <w:color w:val="1E293B"/>
                <w:sz w:val="19"/>
                <w:szCs w:val="19"/>
              </w:rPr>
              <w:t>Plus Tier (BDT 100 - 250/mo)</w:t>
            </w:r>
          </w:p>
        </w:tc>
        <w:tc>
          <w:tcPr>
            <w:tcW w:w="5979" w:type="dxa"/>
            <w:tcBorders>
              <w:top w:val="single" w:sz="4" w:space="0" w:color="CBD5E1"/>
              <w:bottom w:val="single" w:sz="4" w:space="0" w:color="CBD5E1"/>
            </w:tcBorders>
            <w:shd w:fill="F8FAFC" w:val="clear"/>
          </w:tcPr>
          <w:p>
            <w:pPr>
              <w:pStyle w:val="Normal"/>
              <w:spacing w:lineRule="auto" w:line="252" w:before="0" w:after="0"/>
              <w:rPr>
                <w:sz w:val="19"/>
                <w:szCs w:val="19"/>
              </w:rPr>
            </w:pPr>
            <w:r>
              <w:rPr>
                <w:color w:val="1E293B"/>
                <w:sz w:val="19"/>
                <w:szCs w:val="19"/>
              </w:rPr>
              <w:t>For law students and active citizens. Offers higher query limits and saved search history.</w:t>
            </w:r>
          </w:p>
        </w:tc>
      </w:tr>
      <w:tr>
        <w:trPr/>
        <w:tc>
          <w:tcPr>
            <w:tcW w:w="4865" w:type="dxa"/>
            <w:tcBorders>
              <w:top w:val="single" w:sz="4" w:space="0" w:color="CBD5E1"/>
              <w:bottom w:val="single" w:sz="4" w:space="0" w:color="CBD5E1"/>
            </w:tcBorders>
            <w:shd w:fill="FFFFFF" w:val="clear"/>
          </w:tcPr>
          <w:p>
            <w:pPr>
              <w:pStyle w:val="Normal"/>
              <w:spacing w:lineRule="auto" w:line="252" w:before="0" w:after="0"/>
              <w:rPr>
                <w:sz w:val="19"/>
                <w:szCs w:val="19"/>
              </w:rPr>
            </w:pPr>
            <w:r>
              <w:rPr>
                <w:b/>
                <w:color w:val="1E293B"/>
                <w:sz w:val="19"/>
                <w:szCs w:val="19"/>
              </w:rPr>
              <w:t>Professional Tier (BDT 500 - 1,000/mo)</w:t>
            </w:r>
          </w:p>
        </w:tc>
        <w:tc>
          <w:tcPr>
            <w:tcW w:w="5979" w:type="dxa"/>
            <w:tcBorders>
              <w:top w:val="single" w:sz="4" w:space="0" w:color="CBD5E1"/>
              <w:bottom w:val="single" w:sz="4" w:space="0" w:color="CBD5E1"/>
            </w:tcBorders>
            <w:shd w:fill="FFFFFF" w:val="clear"/>
          </w:tcPr>
          <w:p>
            <w:pPr>
              <w:pStyle w:val="Normal"/>
              <w:spacing w:lineRule="auto" w:line="252" w:before="0" w:after="0"/>
              <w:rPr>
                <w:sz w:val="19"/>
                <w:szCs w:val="19"/>
              </w:rPr>
            </w:pPr>
            <w:r>
              <w:rPr>
                <w:color w:val="1E293B"/>
                <w:sz w:val="19"/>
                <w:szCs w:val="19"/>
              </w:rPr>
              <w:t>For individual lawyers, activists, and journalists. Offers unlimited searches and precedent tracking.</w:t>
            </w:r>
          </w:p>
        </w:tc>
      </w:tr>
      <w:tr>
        <w:trPr/>
        <w:tc>
          <w:tcPr>
            <w:tcW w:w="4865" w:type="dxa"/>
            <w:tcBorders>
              <w:top w:val="single" w:sz="4" w:space="0" w:color="CBD5E1"/>
              <w:bottom w:val="single" w:sz="4" w:space="0" w:color="CBD5E1"/>
            </w:tcBorders>
            <w:shd w:fill="F8FAFC" w:val="clear"/>
          </w:tcPr>
          <w:p>
            <w:pPr>
              <w:pStyle w:val="Normal"/>
              <w:spacing w:lineRule="auto" w:line="252" w:before="0" w:after="0"/>
              <w:rPr>
                <w:sz w:val="19"/>
                <w:szCs w:val="19"/>
              </w:rPr>
            </w:pPr>
            <w:r>
              <w:rPr>
                <w:b/>
                <w:color w:val="1E293B"/>
                <w:sz w:val="19"/>
                <w:szCs w:val="19"/>
              </w:rPr>
              <w:t>Chamber Tier (BDT 2,500 - 5,000/mo)</w:t>
            </w:r>
          </w:p>
        </w:tc>
        <w:tc>
          <w:tcPr>
            <w:tcW w:w="5979" w:type="dxa"/>
            <w:tcBorders>
              <w:top w:val="single" w:sz="4" w:space="0" w:color="CBD5E1"/>
              <w:bottom w:val="single" w:sz="4" w:space="0" w:color="CBD5E1"/>
            </w:tcBorders>
            <w:shd w:fill="F8FAFC" w:val="clear"/>
          </w:tcPr>
          <w:p>
            <w:pPr>
              <w:pStyle w:val="Normal"/>
              <w:spacing w:lineRule="auto" w:line="252" w:before="0" w:after="0"/>
              <w:rPr>
                <w:sz w:val="19"/>
                <w:szCs w:val="19"/>
              </w:rPr>
            </w:pPr>
            <w:r>
              <w:rPr>
                <w:color w:val="1E293B"/>
                <w:sz w:val="19"/>
                <w:szCs w:val="19"/>
              </w:rPr>
              <w:t>For law firms requiring multi-user access and secure searches within their own uploaded case files.</w:t>
            </w:r>
          </w:p>
        </w:tc>
      </w:tr>
      <w:tr>
        <w:trPr/>
        <w:tc>
          <w:tcPr>
            <w:tcW w:w="4865" w:type="dxa"/>
            <w:tcBorders>
              <w:top w:val="single" w:sz="4" w:space="0" w:color="CBD5E1"/>
              <w:bottom w:val="single" w:sz="4" w:space="0" w:color="CBD5E1"/>
            </w:tcBorders>
            <w:shd w:fill="FFFFFF" w:val="clear"/>
          </w:tcPr>
          <w:p>
            <w:pPr>
              <w:pStyle w:val="Normal"/>
              <w:spacing w:lineRule="auto" w:line="252" w:before="0" w:after="0"/>
              <w:rPr>
                <w:sz w:val="19"/>
                <w:szCs w:val="19"/>
              </w:rPr>
            </w:pPr>
            <w:r>
              <w:rPr>
                <w:b/>
                <w:color w:val="1E293B"/>
                <w:sz w:val="19"/>
                <w:szCs w:val="19"/>
              </w:rPr>
              <w:t>Enterprise / B2B (Custom Pricing)</w:t>
            </w:r>
          </w:p>
        </w:tc>
        <w:tc>
          <w:tcPr>
            <w:tcW w:w="5979" w:type="dxa"/>
            <w:tcBorders>
              <w:top w:val="single" w:sz="4" w:space="0" w:color="CBD5E1"/>
              <w:bottom w:val="single" w:sz="4" w:space="0" w:color="CBD5E1"/>
            </w:tcBorders>
            <w:shd w:fill="FFFFFF" w:val="clear"/>
          </w:tcPr>
          <w:p>
            <w:pPr>
              <w:pStyle w:val="Normal"/>
              <w:spacing w:lineRule="auto" w:line="252" w:before="0" w:after="0"/>
              <w:rPr>
                <w:sz w:val="19"/>
                <w:szCs w:val="19"/>
              </w:rPr>
            </w:pPr>
            <w:r>
              <w:rPr>
                <w:color w:val="1E293B"/>
                <w:sz w:val="19"/>
                <w:szCs w:val="19"/>
              </w:rPr>
              <w:t>Custom licensing and API access for banks, NGOs, and corporate compliance teams.</w:t>
            </w:r>
          </w:p>
        </w:tc>
      </w:tr>
    </w:tbl>
    <w:p>
      <w:pPr>
        <w:pStyle w:val="Normal"/>
        <w:spacing w:before="0" w:after="40"/>
        <w:rPr>
          <w:sz w:val="19"/>
          <w:szCs w:val="19"/>
        </w:rPr>
      </w:pPr>
      <w:r>
        <w:rPr>
          <w:sz w:val="19"/>
          <w:szCs w:val="19"/>
        </w:rPr>
      </w:r>
    </w:p>
    <w:p>
      <w:pPr>
        <w:pStyle w:val="Normal"/>
        <w:keepNext w:val="true"/>
        <w:spacing w:before="80" w:after="20"/>
        <w:rPr>
          <w:sz w:val="22"/>
          <w:szCs w:val="22"/>
        </w:rPr>
      </w:pPr>
      <w:r>
        <w:rPr>
          <w:b/>
          <w:color w:val="1E3A8A"/>
          <w:sz w:val="22"/>
          <w:szCs w:val="22"/>
        </w:rPr>
        <w:t>6. Social &amp; National Impact</w:t>
      </w:r>
    </w:p>
    <w:p>
      <w:pPr>
        <w:pStyle w:val="Normal"/>
        <w:spacing w:lineRule="auto" w:line="252" w:before="0" w:after="20"/>
        <w:jc w:val="both"/>
        <w:rPr>
          <w:sz w:val="19"/>
          <w:szCs w:val="19"/>
        </w:rPr>
      </w:pPr>
      <w:r>
        <w:rPr>
          <w:color w:val="1E293B"/>
          <w:sz w:val="19"/>
          <w:szCs w:val="19"/>
        </w:rPr>
        <w:t>The primary impact is civic empowerment. When citizens know the specific laws protecting them, they can effectively challenge arbitrary decisions, resist harassment, and demand accountability. On a national level, reducing the time lawyers spend on legal research can significantly speed up case preparation, helping to alleviate the severe backlog in the judicial system.</w:t>
      </w:r>
    </w:p>
    <w:p>
      <w:pPr>
        <w:pStyle w:val="Normal"/>
        <w:keepNext w:val="true"/>
        <w:spacing w:before="80" w:after="20"/>
        <w:rPr>
          <w:sz w:val="22"/>
          <w:szCs w:val="22"/>
        </w:rPr>
      </w:pPr>
      <w:r>
        <w:rPr>
          <w:b/>
          <w:color w:val="1E3A8A"/>
          <w:sz w:val="22"/>
          <w:szCs w:val="22"/>
        </w:rPr>
        <w:t>7. Scalability &amp; Global Potential</w:t>
      </w:r>
    </w:p>
    <w:p>
      <w:pPr>
        <w:pStyle w:val="Normal"/>
        <w:spacing w:lineRule="auto" w:line="252" w:before="0" w:after="20"/>
        <w:jc w:val="both"/>
        <w:rPr>
          <w:sz w:val="19"/>
          <w:szCs w:val="19"/>
        </w:rPr>
      </w:pPr>
      <w:r>
        <w:rPr>
          <w:color w:val="1E293B"/>
          <w:sz w:val="19"/>
          <w:szCs w:val="19"/>
        </w:rPr>
        <w:t>Initial rollout will focus on general civil and criminal law in Bangladesh. The platform can scale horizontally by adding specialized modules for tax, labor, and corporate compliance. Because Bangladesh shares a common law foundation with many other Commonwealth nations, the underlying technology architecture can eventually be adapted for other developing countries facing similar legal accessibility issues.</w:t>
      </w:r>
    </w:p>
    <w:p>
      <w:pPr>
        <w:pStyle w:val="Normal"/>
        <w:keepNext w:val="true"/>
        <w:spacing w:before="80" w:after="20"/>
        <w:rPr>
          <w:sz w:val="22"/>
          <w:szCs w:val="22"/>
        </w:rPr>
      </w:pPr>
      <w:r>
        <w:rPr>
          <w:b/>
          <w:color w:val="1E3A8A"/>
          <w:sz w:val="22"/>
          <w:szCs w:val="22"/>
        </w:rPr>
        <w:t>8. Founder Fit</w:t>
      </w:r>
    </w:p>
    <w:p>
      <w:pPr>
        <w:pStyle w:val="Normal"/>
        <w:spacing w:lineRule="auto" w:line="252" w:before="0" w:after="20"/>
        <w:jc w:val="both"/>
        <w:rPr>
          <w:sz w:val="19"/>
          <w:szCs w:val="19"/>
        </w:rPr>
      </w:pPr>
      <w:r>
        <w:rPr>
          <w:color w:val="1E293B"/>
          <w:sz w:val="19"/>
          <w:szCs w:val="19"/>
        </w:rPr>
        <w:t>As an AI engineer</w:t>
      </w:r>
      <w:r>
        <w:rPr>
          <w:color w:val="1E293B"/>
          <w:sz w:val="19"/>
          <w:szCs w:val="19"/>
        </w:rPr>
        <w:t>ing practitioner</w:t>
      </w:r>
      <w:r>
        <w:rPr>
          <w:color w:val="1E293B"/>
          <w:sz w:val="19"/>
          <w:szCs w:val="19"/>
        </w:rPr>
        <w:t>, my expertise lies in solving complex regional NLP challenges. I trained the triBne-e5-large embedding model specifically to handle the linguistic realities of the Bangladeshi market, seamlessly understanding Bangla, English, and Banglish. I have the technical capability to build out the full platform architecture, from specialized search systems to the user interface, while understanding the profound social need for making legal information transparent and accessible.</w:t>
      </w:r>
    </w:p>
    <w:sectPr>
      <w:type w:val="nextPage"/>
      <w:pgSz w:w="12240" w:h="15840"/>
      <w:pgMar w:left="648" w:right="648" w:gutter="0" w:header="0" w:top="576" w:footer="0" w:bottom="5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olor w:val="334155"/>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LibreOffice/26.2.4.2$Linux_X86_64 LibreOffice_project/620$Build-2</Application>
  <AppVersion>15.0000</AppVersion>
  <Pages>1</Pages>
  <Words>607</Words>
  <Characters>3700</Characters>
  <CharactersWithSpaces>4278</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2026-08-04T16:32:57Z</cp:lastPrinted>
  <dcterms:modified xsi:type="dcterms:W3CDTF">2026-08-04T16:34:23Z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