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F172A"/>
          <w:sz w:val="28"/>
        </w:rPr>
        <w:t>SRH LINK-TODA APPLICATION</w:t>
      </w:r>
    </w:p>
    <w:p>
      <w:pPr>
        <w:spacing w:before="0" w:after="280"/>
        <w:jc w:val="center"/>
      </w:pPr>
      <w:r>
        <w:rPr>
          <w:rFonts w:ascii="Times New Roman" w:hAnsi="Times New Roman"/>
          <w:i/>
          <w:color w:val="334155"/>
          <w:sz w:val="22"/>
        </w:rPr>
        <w:t>Appendix C: User Manual — Summary Checklist of Figures &amp; Functional Modules</w:t>
      </w:r>
    </w:p>
    <w:p>
      <w:pPr>
        <w:spacing w:before="0" w:after="200" w:line="276" w:lineRule="auto"/>
        <w:jc w:val="both"/>
      </w:pPr>
      <w:r>
        <w:rPr>
          <w:rFonts w:ascii="Times New Roman" w:hAnsi="Times New Roman"/>
          <w:color w:val="1E293B"/>
          <w:sz w:val="21"/>
        </w:rPr>
        <w:t>The following master summary checklist indexes all twenty-one (21) user manual figures documented across the eleven (11) functional modules of the SRH LINK-TODA progressive web application (Appendix C). Each entry outlines the assigned figure number, corresponding document section and UI form/interface name, primary target user roles, and an exhaustive technical description of the core features, interactive controls, and backend workflows covered.</w:t>
      </w:r>
    </w:p>
    <w:p>
      <w:pPr>
        <w:keepNext/>
        <w:spacing w:before="160" w:after="80"/>
      </w:pPr>
      <w:r>
        <w:rPr>
          <w:rFonts w:ascii="Times New Roman" w:hAnsi="Times New Roman"/>
          <w:b/>
          <w:sz w:val="21"/>
        </w:rPr>
        <w:t xml:space="preserve">Table C-1. </w:t>
      </w:r>
      <w:r>
        <w:rPr>
          <w:rFonts w:ascii="Times New Roman" w:hAnsi="Times New Roman"/>
          <w:i/>
          <w:sz w:val="21"/>
        </w:rPr>
        <w:t>Summary Checklist of All User Manual Figures, Document Sections, Target Roles, and Functional Components</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none"/>
        </w:tblBorders>
      </w:tblPr>
      <w:tblGrid>
        <w:gridCol w:w="2340"/>
        <w:gridCol w:w="2340"/>
        <w:gridCol w:w="2340"/>
        <w:gridCol w:w="2340"/>
      </w:tblGrid>
      <w:tr>
        <w:trPr>
          <w:tblHeader/>
          <w:cantSplit/>
        </w:trPr>
        <w:tc>
          <w:tcPr>
            <w:tcW w:type="dxa" w:w="1440"/>
            <w:vAlign w:val="center"/>
            <w:shd w:fill="1E293B"/>
            <w:tcMar>
              <w:top w:w="140" w:type="dxa"/>
              <w:bottom w:w="140" w:type="dxa"/>
              <w:left w:w="120" w:type="dxa"/>
              <w:right w:w="120" w:type="dxa"/>
            </w:tcMar>
          </w:tcPr>
          <w:p>
            <w:pPr>
              <w:spacing w:before="40" w:after="40"/>
              <w:jc w:val="center"/>
            </w:pPr>
            <w:r>
              <w:rPr>
                <w:rFonts w:ascii="Times New Roman" w:hAnsi="Times New Roman"/>
                <w:b/>
                <w:color w:val="FFFFFF"/>
                <w:sz w:val="20"/>
              </w:rPr>
              <w:t>Figure Number</w:t>
            </w:r>
          </w:p>
        </w:tc>
        <w:tc>
          <w:tcPr>
            <w:tcW w:type="dxa" w:w="2880"/>
            <w:vAlign w:val="center"/>
            <w:shd w:fill="1E293B"/>
            <w:tcMar>
              <w:top w:w="140" w:type="dxa"/>
              <w:bottom w:w="140" w:type="dxa"/>
              <w:left w:w="120" w:type="dxa"/>
              <w:right w:w="120" w:type="dxa"/>
            </w:tcMar>
          </w:tcPr>
          <w:p>
            <w:pPr>
              <w:spacing w:before="40" w:after="40"/>
              <w:jc w:val="center"/>
            </w:pPr>
            <w:r>
              <w:rPr>
                <w:rFonts w:ascii="Times New Roman" w:hAnsi="Times New Roman"/>
                <w:b/>
                <w:color w:val="FFFFFF"/>
                <w:sz w:val="20"/>
              </w:rPr>
              <w:t>Document Section &amp; Form Name</w:t>
            </w:r>
          </w:p>
        </w:tc>
        <w:tc>
          <w:tcPr>
            <w:tcW w:type="dxa" w:w="1872"/>
            <w:vAlign w:val="center"/>
            <w:shd w:fill="1E293B"/>
            <w:tcMar>
              <w:top w:w="140" w:type="dxa"/>
              <w:bottom w:w="140" w:type="dxa"/>
              <w:left w:w="120" w:type="dxa"/>
              <w:right w:w="120" w:type="dxa"/>
            </w:tcMar>
          </w:tcPr>
          <w:p>
            <w:pPr>
              <w:spacing w:before="40" w:after="40"/>
              <w:jc w:val="center"/>
            </w:pPr>
            <w:r>
              <w:rPr>
                <w:rFonts w:ascii="Times New Roman" w:hAnsi="Times New Roman"/>
                <w:b/>
                <w:color w:val="FFFFFF"/>
                <w:sz w:val="20"/>
              </w:rPr>
              <w:t>Primary Target Role</w:t>
            </w:r>
          </w:p>
        </w:tc>
        <w:tc>
          <w:tcPr>
            <w:tcW w:type="dxa" w:w="3168"/>
            <w:vAlign w:val="center"/>
            <w:shd w:fill="1E293B"/>
            <w:tcMar>
              <w:top w:w="140" w:type="dxa"/>
              <w:bottom w:w="140" w:type="dxa"/>
              <w:left w:w="120" w:type="dxa"/>
              <w:right w:w="120" w:type="dxa"/>
            </w:tcMar>
          </w:tcPr>
          <w:p>
            <w:pPr>
              <w:spacing w:before="40" w:after="40"/>
              <w:jc w:val="center"/>
            </w:pPr>
            <w:r>
              <w:rPr>
                <w:rFonts w:ascii="Times New Roman" w:hAnsi="Times New Roman"/>
                <w:b/>
                <w:color w:val="FFFFFF"/>
                <w:sz w:val="20"/>
              </w:rPr>
              <w:t>Key Components &amp; Functions Covered</w:t>
            </w:r>
          </w:p>
        </w:tc>
      </w:tr>
      <w:tr>
        <w:trPr>
          <w:cantSplit/>
        </w:trPr>
        <w:tc>
          <w:tcPr>
            <w:tcW w:type="dxa" w:w="1440"/>
            <w:vAlign w:val="top"/>
            <w:shd w:fill="FFFFFF"/>
            <w:tcMar>
              <w:top w:w="100" w:type="dxa"/>
              <w:bottom w:w="100" w:type="dxa"/>
              <w:left w:w="110" w:type="dxa"/>
              <w:right w:w="110" w:type="dxa"/>
            </w:tcMar>
          </w:tcPr>
          <w:p>
            <w:pPr>
              <w:spacing w:before="40" w:after="40" w:line="276" w:lineRule="auto"/>
              <w:jc w:val="center"/>
            </w:pPr>
            <w:r>
              <w:rPr>
                <w:rFonts w:ascii="Times New Roman" w:hAnsi="Times New Roman"/>
                <w:b/>
                <w:color w:val="0F172A"/>
                <w:sz w:val="19"/>
              </w:rPr>
              <w:t>Figure C-1</w:t>
            </w:r>
          </w:p>
        </w:tc>
        <w:tc>
          <w:tcPr>
            <w:tcW w:type="dxa" w:w="2880"/>
            <w:vAlign w:val="top"/>
            <w:shd w:fill="FFFFFF"/>
            <w:tcMar>
              <w:top w:w="100" w:type="dxa"/>
              <w:bottom w:w="100" w:type="dxa"/>
              <w:left w:w="110" w:type="dxa"/>
              <w:right w:w="110" w:type="dxa"/>
            </w:tcMar>
          </w:tcPr>
          <w:p>
            <w:pPr>
              <w:spacing w:before="40" w:after="40" w:line="276" w:lineRule="auto"/>
              <w:jc w:val="left"/>
            </w:pPr>
            <w:r>
              <w:rPr>
                <w:rFonts w:ascii="Times New Roman" w:hAnsi="Times New Roman"/>
                <w:i/>
                <w:color w:val="475569"/>
                <w:sz w:val="18"/>
              </w:rPr>
              <w:t>The Public Website (No Account Needed)</w:t>
              <w:br/>
            </w:r>
            <w:r>
              <w:rPr>
                <w:rFonts w:ascii="Times New Roman" w:hAnsi="Times New Roman"/>
                <w:b/>
                <w:color w:val="0F172A"/>
                <w:sz w:val="19"/>
              </w:rPr>
              <w:t>Public Welcome Portal &amp; Landing Gateway</w:t>
            </w:r>
          </w:p>
        </w:tc>
        <w:tc>
          <w:tcPr>
            <w:tcW w:type="dxa" w:w="1872"/>
            <w:vAlign w:val="top"/>
            <w:shd w:fill="FFFFFF"/>
            <w:tcMar>
              <w:top w:w="100" w:type="dxa"/>
              <w:bottom w:w="100" w:type="dxa"/>
              <w:left w:w="110" w:type="dxa"/>
              <w:right w:w="110" w:type="dxa"/>
            </w:tcMar>
          </w:tcPr>
          <w:p>
            <w:pPr>
              <w:spacing w:before="40" w:after="40" w:line="276" w:lineRule="auto"/>
              <w:jc w:val="center"/>
            </w:pPr>
            <w:r>
              <w:rPr>
                <w:rFonts w:ascii="Times New Roman" w:hAnsi="Times New Roman"/>
                <w:b w:val="0"/>
                <w:color w:val="1E293B"/>
                <w:sz w:val="19"/>
              </w:rPr>
              <w:t>Public /</w:t>
              <w:br/>
              <w:t>Commuters /</w:t>
              <w:br/>
              <w:t>Unregistered Guests</w:t>
            </w:r>
          </w:p>
        </w:tc>
        <w:tc>
          <w:tcPr>
            <w:tcW w:type="dxa" w:w="3168"/>
            <w:vAlign w:val="top"/>
            <w:shd w:fill="FFFFFF"/>
            <w:tcMar>
              <w:top w:w="100" w:type="dxa"/>
              <w:bottom w:w="100" w:type="dxa"/>
              <w:left w:w="110" w:type="dxa"/>
              <w:right w:w="110" w:type="dxa"/>
            </w:tcMar>
          </w:tcPr>
          <w:p>
            <w:pPr>
              <w:spacing w:before="40" w:after="40" w:line="276" w:lineRule="auto"/>
              <w:jc w:val="both"/>
            </w:pPr>
            <w:r>
              <w:rPr>
                <w:rFonts w:ascii="Times New Roman" w:hAnsi="Times New Roman"/>
                <w:color w:val="1E293B"/>
                <w:sz w:val="18"/>
              </w:rPr>
              <w:t>Santa Rosa Homes TODA brand identity &amp; municipal mission banner; standardized municipal fare preview matrix; central terminal operational hours &amp; dispatch policies; interactive FAQ accordion; "Get Started" commuter onboarding CTA; and secure "Sign In" portal trigger link.</w:t>
            </w:r>
          </w:p>
        </w:tc>
      </w:tr>
      <w:tr>
        <w:trPr>
          <w:cantSplit/>
        </w:trPr>
        <w:tc>
          <w:tcPr>
            <w:tcW w:type="dxa" w:w="1440"/>
            <w:vAlign w:val="top"/>
            <w:shd w:fill="F8FAFC"/>
            <w:tcMar>
              <w:top w:w="100" w:type="dxa"/>
              <w:bottom w:w="100" w:type="dxa"/>
              <w:left w:w="110" w:type="dxa"/>
              <w:right w:w="110" w:type="dxa"/>
            </w:tcMar>
          </w:tcPr>
          <w:p>
            <w:pPr>
              <w:spacing w:before="40" w:after="40" w:line="276" w:lineRule="auto"/>
              <w:jc w:val="center"/>
            </w:pPr>
            <w:r>
              <w:rPr>
                <w:rFonts w:ascii="Times New Roman" w:hAnsi="Times New Roman"/>
                <w:b/>
                <w:color w:val="0F172A"/>
                <w:sz w:val="19"/>
              </w:rPr>
              <w:t>Figure C-2</w:t>
            </w:r>
          </w:p>
        </w:tc>
        <w:tc>
          <w:tcPr>
            <w:tcW w:type="dxa" w:w="2880"/>
            <w:vAlign w:val="top"/>
            <w:shd w:fill="F8FAFC"/>
            <w:tcMar>
              <w:top w:w="100" w:type="dxa"/>
              <w:bottom w:w="100" w:type="dxa"/>
              <w:left w:w="110" w:type="dxa"/>
              <w:right w:w="110" w:type="dxa"/>
            </w:tcMar>
          </w:tcPr>
          <w:p>
            <w:pPr>
              <w:spacing w:before="40" w:after="40" w:line="276" w:lineRule="auto"/>
              <w:jc w:val="left"/>
            </w:pPr>
            <w:r>
              <w:rPr>
                <w:rFonts w:ascii="Times New Roman" w:hAnsi="Times New Roman"/>
                <w:i/>
                <w:color w:val="475569"/>
                <w:sz w:val="18"/>
              </w:rPr>
              <w:t>Account Access &amp; Authentication</w:t>
              <w:br/>
            </w:r>
            <w:r>
              <w:rPr>
                <w:rFonts w:ascii="Times New Roman" w:hAnsi="Times New Roman"/>
                <w:b/>
                <w:color w:val="0F172A"/>
                <w:sz w:val="19"/>
              </w:rPr>
              <w:t>Secure Portal Sign-In &amp; Authentication Form</w:t>
            </w:r>
          </w:p>
        </w:tc>
        <w:tc>
          <w:tcPr>
            <w:tcW w:type="dxa" w:w="1872"/>
            <w:vAlign w:val="top"/>
            <w:shd w:fill="F8FAFC"/>
            <w:tcMar>
              <w:top w:w="100" w:type="dxa"/>
              <w:bottom w:w="100" w:type="dxa"/>
              <w:left w:w="110" w:type="dxa"/>
              <w:right w:w="110" w:type="dxa"/>
            </w:tcMar>
          </w:tcPr>
          <w:p>
            <w:pPr>
              <w:spacing w:before="40" w:after="40" w:line="276" w:lineRule="auto"/>
              <w:jc w:val="center"/>
            </w:pPr>
            <w:r>
              <w:rPr>
                <w:rFonts w:ascii="Times New Roman" w:hAnsi="Times New Roman"/>
                <w:b w:val="0"/>
                <w:color w:val="1E293B"/>
                <w:sz w:val="19"/>
              </w:rPr>
              <w:t>All System Roles</w:t>
              <w:br/>
              <w:t>(Commuters, TODA Drivers, Admins, Superadmins)</w:t>
            </w:r>
          </w:p>
        </w:tc>
        <w:tc>
          <w:tcPr>
            <w:tcW w:type="dxa" w:w="3168"/>
            <w:vAlign w:val="top"/>
            <w:shd w:fill="F8FAFC"/>
            <w:tcMar>
              <w:top w:w="100" w:type="dxa"/>
              <w:bottom w:w="100" w:type="dxa"/>
              <w:left w:w="110" w:type="dxa"/>
              <w:right w:w="110" w:type="dxa"/>
            </w:tcMar>
          </w:tcPr>
          <w:p>
            <w:pPr>
              <w:spacing w:before="40" w:after="40" w:line="276" w:lineRule="auto"/>
              <w:jc w:val="both"/>
            </w:pPr>
            <w:r>
              <w:rPr>
                <w:rFonts w:ascii="Times New Roman" w:hAnsi="Times New Roman"/>
                <w:color w:val="1E293B"/>
                <w:sz w:val="18"/>
              </w:rPr>
              <w:t>Role-aware registered email address and masked password input fields; interactive eye toggle for password visibility; "Keep Me Signed In" persistent session checkbox; primary "Sign In" submission CTA; "Forgot Password?" recovery trigger; and direct account registration link.</w:t>
            </w:r>
          </w:p>
        </w:tc>
      </w:tr>
      <w:tr>
        <w:trPr>
          <w:cantSplit/>
        </w:trPr>
        <w:tc>
          <w:tcPr>
            <w:tcW w:type="dxa" w:w="1440"/>
            <w:vAlign w:val="top"/>
            <w:shd w:fill="FFFFFF"/>
            <w:tcMar>
              <w:top w:w="100" w:type="dxa"/>
              <w:bottom w:w="100" w:type="dxa"/>
              <w:left w:w="110" w:type="dxa"/>
              <w:right w:w="110" w:type="dxa"/>
            </w:tcMar>
          </w:tcPr>
          <w:p>
            <w:pPr>
              <w:spacing w:before="40" w:after="40" w:line="276" w:lineRule="auto"/>
              <w:jc w:val="center"/>
            </w:pPr>
            <w:r>
              <w:rPr>
                <w:rFonts w:ascii="Times New Roman" w:hAnsi="Times New Roman"/>
                <w:b/>
                <w:color w:val="0F172A"/>
                <w:sz w:val="19"/>
              </w:rPr>
              <w:t>Figure C-3</w:t>
            </w:r>
          </w:p>
        </w:tc>
        <w:tc>
          <w:tcPr>
            <w:tcW w:type="dxa" w:w="2880"/>
            <w:vAlign w:val="top"/>
            <w:shd w:fill="FFFFFF"/>
            <w:tcMar>
              <w:top w:w="100" w:type="dxa"/>
              <w:bottom w:w="100" w:type="dxa"/>
              <w:left w:w="110" w:type="dxa"/>
              <w:right w:w="110" w:type="dxa"/>
            </w:tcMar>
          </w:tcPr>
          <w:p>
            <w:pPr>
              <w:spacing w:before="40" w:after="40" w:line="276" w:lineRule="auto"/>
              <w:jc w:val="left"/>
            </w:pPr>
            <w:r>
              <w:rPr>
                <w:rFonts w:ascii="Times New Roman" w:hAnsi="Times New Roman"/>
                <w:i/>
                <w:color w:val="475569"/>
                <w:sz w:val="18"/>
              </w:rPr>
              <w:t>Multi-Step Registration &amp; Driver Document Submission</w:t>
              <w:br/>
            </w:r>
            <w:r>
              <w:rPr>
                <w:rFonts w:ascii="Times New Roman" w:hAnsi="Times New Roman"/>
                <w:b/>
                <w:color w:val="0F172A"/>
                <w:sz w:val="19"/>
              </w:rPr>
              <w:t>Passenger Registration Flow (3 Panels)</w:t>
            </w:r>
          </w:p>
        </w:tc>
        <w:tc>
          <w:tcPr>
            <w:tcW w:type="dxa" w:w="1872"/>
            <w:vAlign w:val="top"/>
            <w:shd w:fill="FFFFFF"/>
            <w:tcMar>
              <w:top w:w="100" w:type="dxa"/>
              <w:bottom w:w="100" w:type="dxa"/>
              <w:left w:w="110" w:type="dxa"/>
              <w:right w:w="110" w:type="dxa"/>
            </w:tcMar>
          </w:tcPr>
          <w:p>
            <w:pPr>
              <w:spacing w:before="40" w:after="40" w:line="276" w:lineRule="auto"/>
              <w:jc w:val="center"/>
            </w:pPr>
            <w:r>
              <w:rPr>
                <w:rFonts w:ascii="Times New Roman" w:hAnsi="Times New Roman"/>
                <w:b w:val="0"/>
                <w:color w:val="1E293B"/>
                <w:sz w:val="19"/>
              </w:rPr>
              <w:t>Commuters /</w:t>
              <w:br/>
              <w:t>Passengers</w:t>
            </w:r>
          </w:p>
        </w:tc>
        <w:tc>
          <w:tcPr>
            <w:tcW w:type="dxa" w:w="3168"/>
            <w:vAlign w:val="top"/>
            <w:shd w:fill="FFFFFF"/>
            <w:tcMar>
              <w:top w:w="100" w:type="dxa"/>
              <w:bottom w:w="100" w:type="dxa"/>
              <w:left w:w="110" w:type="dxa"/>
              <w:right w:w="110" w:type="dxa"/>
            </w:tcMar>
          </w:tcPr>
          <w:p>
            <w:pPr>
              <w:spacing w:before="40" w:after="40" w:line="276" w:lineRule="auto"/>
              <w:jc w:val="both"/>
            </w:pPr>
            <w:r>
              <w:rPr>
                <w:rFonts w:ascii="Times New Roman" w:hAnsi="Times New Roman"/>
                <w:color w:val="1E293B"/>
                <w:sz w:val="18"/>
              </w:rPr>
              <w:t>3-step registration wizard with dynamic progress indicator bar; account role selection cards (Commuter vs. Driver); personal contact inputs (Full Legal Name, unique Mobile Number, Barangay, and verified Email); real-time duplicate validation badges; strong password creation with complexity validation rules; Terms of Service &amp; Privacy Policy consent; and complete registration CTA button.</w:t>
            </w:r>
          </w:p>
        </w:tc>
      </w:tr>
      <w:tr>
        <w:trPr>
          <w:cantSplit/>
        </w:trPr>
        <w:tc>
          <w:tcPr>
            <w:tcW w:type="dxa" w:w="1440"/>
            <w:vAlign w:val="top"/>
            <w:shd w:fill="F8FAFC"/>
            <w:tcMar>
              <w:top w:w="100" w:type="dxa"/>
              <w:bottom w:w="100" w:type="dxa"/>
              <w:left w:w="110" w:type="dxa"/>
              <w:right w:w="110" w:type="dxa"/>
            </w:tcMar>
          </w:tcPr>
          <w:p>
            <w:pPr>
              <w:spacing w:before="40" w:after="40" w:line="276" w:lineRule="auto"/>
              <w:jc w:val="center"/>
            </w:pPr>
            <w:r>
              <w:rPr>
                <w:rFonts w:ascii="Times New Roman" w:hAnsi="Times New Roman"/>
                <w:b/>
                <w:color w:val="0F172A"/>
                <w:sz w:val="19"/>
              </w:rPr>
              <w:t>Figure C-4</w:t>
            </w:r>
          </w:p>
        </w:tc>
        <w:tc>
          <w:tcPr>
            <w:tcW w:type="dxa" w:w="2880"/>
            <w:vAlign w:val="top"/>
            <w:shd w:fill="F8FAFC"/>
            <w:tcMar>
              <w:top w:w="100" w:type="dxa"/>
              <w:bottom w:w="100" w:type="dxa"/>
              <w:left w:w="110" w:type="dxa"/>
              <w:right w:w="110" w:type="dxa"/>
            </w:tcMar>
          </w:tcPr>
          <w:p>
            <w:pPr>
              <w:spacing w:before="40" w:after="40" w:line="276" w:lineRule="auto"/>
              <w:jc w:val="left"/>
            </w:pPr>
            <w:r>
              <w:rPr>
                <w:rFonts w:ascii="Times New Roman" w:hAnsi="Times New Roman"/>
                <w:i/>
                <w:color w:val="475569"/>
                <w:sz w:val="18"/>
              </w:rPr>
              <w:t>Multi-Step Registration &amp; Driver Document Submission</w:t>
              <w:br/>
            </w:r>
            <w:r>
              <w:rPr>
                <w:rFonts w:ascii="Times New Roman" w:hAnsi="Times New Roman"/>
                <w:b/>
                <w:color w:val="0F172A"/>
                <w:sz w:val="19"/>
              </w:rPr>
              <w:t>Driver Registration Flow &amp; 2FA OTP (2 Panels)</w:t>
            </w:r>
          </w:p>
        </w:tc>
        <w:tc>
          <w:tcPr>
            <w:tcW w:type="dxa" w:w="1872"/>
            <w:vAlign w:val="top"/>
            <w:shd w:fill="F8FAFC"/>
            <w:tcMar>
              <w:top w:w="100" w:type="dxa"/>
              <w:bottom w:w="100" w:type="dxa"/>
              <w:left w:w="110" w:type="dxa"/>
              <w:right w:w="110" w:type="dxa"/>
            </w:tcMar>
          </w:tcPr>
          <w:p>
            <w:pPr>
              <w:spacing w:before="40" w:after="40" w:line="276" w:lineRule="auto"/>
              <w:jc w:val="center"/>
            </w:pPr>
            <w:r>
              <w:rPr>
                <w:rFonts w:ascii="Times New Roman" w:hAnsi="Times New Roman"/>
                <w:b w:val="0"/>
                <w:color w:val="1E293B"/>
                <w:sz w:val="19"/>
              </w:rPr>
              <w:t>TODA Drivers /</w:t>
              <w:br/>
              <w:t>Applicants</w:t>
            </w:r>
          </w:p>
        </w:tc>
        <w:tc>
          <w:tcPr>
            <w:tcW w:type="dxa" w:w="3168"/>
            <w:vAlign w:val="top"/>
            <w:shd w:fill="F8FAFC"/>
            <w:tcMar>
              <w:top w:w="100" w:type="dxa"/>
              <w:bottom w:w="100" w:type="dxa"/>
              <w:left w:w="110" w:type="dxa"/>
              <w:right w:w="110" w:type="dxa"/>
            </w:tcMar>
          </w:tcPr>
          <w:p>
            <w:pPr>
              <w:spacing w:before="40" w:after="40" w:line="276" w:lineRule="auto"/>
              <w:jc w:val="both"/>
            </w:pPr>
            <w:r>
              <w:rPr>
                <w:rFonts w:ascii="Times New Roman" w:hAnsi="Times New Roman"/>
                <w:color w:val="1E293B"/>
                <w:sz w:val="18"/>
              </w:rPr>
              <w:t>Municipal MTOP franchise body number input; LGU Tricycle Permit and Professional Driver's License image upload dropzones with format/size validation rules; Two-Factor Authentication (2FA) Gmail OTP verification modal; 6-digit segmented input cells; 60-second OTP resend cooldown timer; and automated submission into the admin compliance review queue.</w:t>
            </w:r>
          </w:p>
        </w:tc>
      </w:tr>
      <w:tr>
        <w:trPr>
          <w:cantSplit/>
        </w:trPr>
        <w:tc>
          <w:tcPr>
            <w:tcW w:type="dxa" w:w="1440"/>
            <w:vAlign w:val="top"/>
            <w:shd w:fill="FFFFFF"/>
            <w:tcMar>
              <w:top w:w="100" w:type="dxa"/>
              <w:bottom w:w="100" w:type="dxa"/>
              <w:left w:w="110" w:type="dxa"/>
              <w:right w:w="110" w:type="dxa"/>
            </w:tcMar>
          </w:tcPr>
          <w:p>
            <w:pPr>
              <w:spacing w:before="40" w:after="40" w:line="276" w:lineRule="auto"/>
              <w:jc w:val="center"/>
            </w:pPr>
            <w:r>
              <w:rPr>
                <w:rFonts w:ascii="Times New Roman" w:hAnsi="Times New Roman"/>
                <w:b/>
                <w:color w:val="0F172A"/>
                <w:sz w:val="19"/>
              </w:rPr>
              <w:t>Figure C-5</w:t>
            </w:r>
          </w:p>
        </w:tc>
        <w:tc>
          <w:tcPr>
            <w:tcW w:type="dxa" w:w="2880"/>
            <w:vAlign w:val="top"/>
            <w:shd w:fill="FFFFFF"/>
            <w:tcMar>
              <w:top w:w="100" w:type="dxa"/>
              <w:bottom w:w="100" w:type="dxa"/>
              <w:left w:w="110" w:type="dxa"/>
              <w:right w:w="110" w:type="dxa"/>
            </w:tcMar>
          </w:tcPr>
          <w:p>
            <w:pPr>
              <w:spacing w:before="40" w:after="40" w:line="276" w:lineRule="auto"/>
              <w:jc w:val="left"/>
            </w:pPr>
            <w:r>
              <w:rPr>
                <w:rFonts w:ascii="Times New Roman" w:hAnsi="Times New Roman"/>
                <w:i/>
                <w:color w:val="475569"/>
                <w:sz w:val="18"/>
              </w:rPr>
              <w:t>Multi-Step Registration &amp; Driver Document Submission</w:t>
              <w:br/>
            </w:r>
            <w:r>
              <w:rPr>
                <w:rFonts w:ascii="Times New Roman" w:hAnsi="Times New Roman"/>
                <w:b/>
                <w:color w:val="0F172A"/>
                <w:sz w:val="19"/>
              </w:rPr>
              <w:t>Driver Accreditation Review Statuses (3 Panels)</w:t>
            </w:r>
          </w:p>
        </w:tc>
        <w:tc>
          <w:tcPr>
            <w:tcW w:type="dxa" w:w="1872"/>
            <w:vAlign w:val="top"/>
            <w:shd w:fill="FFFFFF"/>
            <w:tcMar>
              <w:top w:w="100" w:type="dxa"/>
              <w:bottom w:w="100" w:type="dxa"/>
              <w:left w:w="110" w:type="dxa"/>
              <w:right w:w="110" w:type="dxa"/>
            </w:tcMar>
          </w:tcPr>
          <w:p>
            <w:pPr>
              <w:spacing w:before="40" w:after="40" w:line="276" w:lineRule="auto"/>
              <w:jc w:val="center"/>
            </w:pPr>
            <w:r>
              <w:rPr>
                <w:rFonts w:ascii="Times New Roman" w:hAnsi="Times New Roman"/>
                <w:b w:val="0"/>
                <w:color w:val="1E293B"/>
                <w:sz w:val="19"/>
              </w:rPr>
              <w:t>TODA Drivers /</w:t>
              <w:br/>
              <w:t>Applicants</w:t>
            </w:r>
          </w:p>
        </w:tc>
        <w:tc>
          <w:tcPr>
            <w:tcW w:type="dxa" w:w="3168"/>
            <w:vAlign w:val="top"/>
            <w:shd w:fill="FFFFFF"/>
            <w:tcMar>
              <w:top w:w="100" w:type="dxa"/>
              <w:bottom w:w="100" w:type="dxa"/>
              <w:left w:w="110" w:type="dxa"/>
              <w:right w:w="110" w:type="dxa"/>
            </w:tcMar>
          </w:tcPr>
          <w:p>
            <w:pPr>
              <w:spacing w:before="40" w:after="40" w:line="276" w:lineRule="auto"/>
              <w:jc w:val="both"/>
            </w:pPr>
            <w:r>
              <w:rPr>
                <w:rFonts w:ascii="Times New Roman" w:hAnsi="Times New Roman"/>
                <w:color w:val="1E293B"/>
                <w:sz w:val="18"/>
              </w:rPr>
              <w:t>Driver accreditation lifecycle state deck: "Under Review" status banner with 24–48 hour verification SLA notice; "Action Required" defect alert card with administrative rejection notes and immediate document re-upload triggers; "Disqualified" ineligibility notice with station hotline link; and return-to-guest portal button.</w:t>
            </w:r>
          </w:p>
        </w:tc>
      </w:tr>
      <w:tr>
        <w:trPr>
          <w:cantSplit/>
        </w:trPr>
        <w:tc>
          <w:tcPr>
            <w:tcW w:type="dxa" w:w="1440"/>
            <w:vAlign w:val="top"/>
            <w:shd w:fill="F8FAFC"/>
            <w:tcMar>
              <w:top w:w="100" w:type="dxa"/>
              <w:bottom w:w="100" w:type="dxa"/>
              <w:left w:w="110" w:type="dxa"/>
              <w:right w:w="110" w:type="dxa"/>
            </w:tcMar>
          </w:tcPr>
          <w:p>
            <w:pPr>
              <w:spacing w:before="40" w:after="40" w:line="276" w:lineRule="auto"/>
              <w:jc w:val="center"/>
            </w:pPr>
            <w:r>
              <w:rPr>
                <w:rFonts w:ascii="Times New Roman" w:hAnsi="Times New Roman"/>
                <w:b/>
                <w:color w:val="0F172A"/>
                <w:sz w:val="19"/>
              </w:rPr>
              <w:t>Figure C-6</w:t>
            </w:r>
          </w:p>
        </w:tc>
        <w:tc>
          <w:tcPr>
            <w:tcW w:type="dxa" w:w="2880"/>
            <w:vAlign w:val="top"/>
            <w:shd w:fill="F8FAFC"/>
            <w:tcMar>
              <w:top w:w="100" w:type="dxa"/>
              <w:bottom w:w="100" w:type="dxa"/>
              <w:left w:w="110" w:type="dxa"/>
              <w:right w:w="110" w:type="dxa"/>
            </w:tcMar>
          </w:tcPr>
          <w:p>
            <w:pPr>
              <w:spacing w:before="40" w:after="40" w:line="276" w:lineRule="auto"/>
              <w:jc w:val="left"/>
            </w:pPr>
            <w:r>
              <w:rPr>
                <w:rFonts w:ascii="Times New Roman" w:hAnsi="Times New Roman"/>
                <w:i/>
                <w:color w:val="475569"/>
                <w:sz w:val="18"/>
              </w:rPr>
              <w:t>Passenger Experience &amp; Commuter Hub</w:t>
              <w:br/>
            </w:r>
            <w:r>
              <w:rPr>
                <w:rFonts w:ascii="Times New Roman" w:hAnsi="Times New Roman"/>
                <w:b/>
                <w:color w:val="0F172A"/>
                <w:sz w:val="19"/>
              </w:rPr>
              <w:t>Passenger Ride Booking Sheet &amp; Fare Calculation Modal (2 Panels)</w:t>
            </w:r>
          </w:p>
        </w:tc>
        <w:tc>
          <w:tcPr>
            <w:tcW w:type="dxa" w:w="1872"/>
            <w:vAlign w:val="top"/>
            <w:shd w:fill="F8FAFC"/>
            <w:tcMar>
              <w:top w:w="100" w:type="dxa"/>
              <w:bottom w:w="100" w:type="dxa"/>
              <w:left w:w="110" w:type="dxa"/>
              <w:right w:w="110" w:type="dxa"/>
            </w:tcMar>
          </w:tcPr>
          <w:p>
            <w:pPr>
              <w:spacing w:before="40" w:after="40" w:line="276" w:lineRule="auto"/>
              <w:jc w:val="center"/>
            </w:pPr>
            <w:r>
              <w:rPr>
                <w:rFonts w:ascii="Times New Roman" w:hAnsi="Times New Roman"/>
                <w:b w:val="0"/>
                <w:color w:val="1E293B"/>
                <w:sz w:val="19"/>
              </w:rPr>
              <w:t>Commuters /</w:t>
              <w:br/>
              <w:t>Passengers</w:t>
            </w:r>
          </w:p>
        </w:tc>
        <w:tc>
          <w:tcPr>
            <w:tcW w:type="dxa" w:w="3168"/>
            <w:vAlign w:val="top"/>
            <w:shd w:fill="F8FAFC"/>
            <w:tcMar>
              <w:top w:w="100" w:type="dxa"/>
              <w:bottom w:w="100" w:type="dxa"/>
              <w:left w:w="110" w:type="dxa"/>
              <w:right w:w="110" w:type="dxa"/>
            </w:tcMar>
          </w:tcPr>
          <w:p>
            <w:pPr>
              <w:spacing w:before="40" w:after="40" w:line="276" w:lineRule="auto"/>
              <w:jc w:val="both"/>
            </w:pPr>
            <w:r>
              <w:rPr>
                <w:rFonts w:ascii="Times New Roman" w:hAnsi="Times New Roman"/>
                <w:color w:val="1E293B"/>
                <w:sz w:val="18"/>
              </w:rPr>
              <w:t>MapLibre GL vector map viewport with real-time GPS user geolocation pin; central TODA terminal station marker &amp; 35m geofence boundary; available queued driver real-time counter pill; quick-select popular landmark carousel; pickup &amp; drop-off destination inputs with interactive "Pin on Map" picker; passenger capacity stepper (1–4 riders); automated transparent fare computation based on road distance; and "Confirm &amp; Request Tricycle" dispatch CTA to #1 queued driver.</w:t>
            </w:r>
          </w:p>
        </w:tc>
      </w:tr>
      <w:tr>
        <w:trPr>
          <w:cantSplit/>
        </w:trPr>
        <w:tc>
          <w:tcPr>
            <w:tcW w:type="dxa" w:w="1440"/>
            <w:vAlign w:val="top"/>
            <w:shd w:fill="FFFFFF"/>
            <w:tcMar>
              <w:top w:w="100" w:type="dxa"/>
              <w:bottom w:w="100" w:type="dxa"/>
              <w:left w:w="110" w:type="dxa"/>
              <w:right w:w="110" w:type="dxa"/>
            </w:tcMar>
          </w:tcPr>
          <w:p>
            <w:pPr>
              <w:spacing w:before="40" w:after="40" w:line="276" w:lineRule="auto"/>
              <w:jc w:val="center"/>
            </w:pPr>
            <w:r>
              <w:rPr>
                <w:rFonts w:ascii="Times New Roman" w:hAnsi="Times New Roman"/>
                <w:b/>
                <w:color w:val="0F172A"/>
                <w:sz w:val="19"/>
              </w:rPr>
              <w:t>Figure C-7</w:t>
            </w:r>
          </w:p>
        </w:tc>
        <w:tc>
          <w:tcPr>
            <w:tcW w:type="dxa" w:w="2880"/>
            <w:vAlign w:val="top"/>
            <w:shd w:fill="FFFFFF"/>
            <w:tcMar>
              <w:top w:w="100" w:type="dxa"/>
              <w:bottom w:w="100" w:type="dxa"/>
              <w:left w:w="110" w:type="dxa"/>
              <w:right w:w="110" w:type="dxa"/>
            </w:tcMar>
          </w:tcPr>
          <w:p>
            <w:pPr>
              <w:spacing w:before="40" w:after="40" w:line="276" w:lineRule="auto"/>
              <w:jc w:val="left"/>
            </w:pPr>
            <w:r>
              <w:rPr>
                <w:rFonts w:ascii="Times New Roman" w:hAnsi="Times New Roman"/>
                <w:i/>
                <w:color w:val="475569"/>
                <w:sz w:val="18"/>
              </w:rPr>
              <w:t>Passenger Experience &amp; Commuter Hub</w:t>
              <w:br/>
            </w:r>
            <w:r>
              <w:rPr>
                <w:rFonts w:ascii="Times New Roman" w:hAnsi="Times New Roman"/>
                <w:b/>
                <w:color w:val="0F172A"/>
                <w:sz w:val="19"/>
              </w:rPr>
              <w:t>Fare Bargaining &amp; Counter-Proposal Modals (2 Panels)</w:t>
            </w:r>
          </w:p>
        </w:tc>
        <w:tc>
          <w:tcPr>
            <w:tcW w:type="dxa" w:w="1872"/>
            <w:vAlign w:val="top"/>
            <w:shd w:fill="FFFFFF"/>
            <w:tcMar>
              <w:top w:w="100" w:type="dxa"/>
              <w:bottom w:w="100" w:type="dxa"/>
              <w:left w:w="110" w:type="dxa"/>
              <w:right w:w="110" w:type="dxa"/>
            </w:tcMar>
          </w:tcPr>
          <w:p>
            <w:pPr>
              <w:spacing w:before="40" w:after="40" w:line="276" w:lineRule="auto"/>
              <w:jc w:val="center"/>
            </w:pPr>
            <w:r>
              <w:rPr>
                <w:rFonts w:ascii="Times New Roman" w:hAnsi="Times New Roman"/>
                <w:b w:val="0"/>
                <w:color w:val="1E293B"/>
                <w:sz w:val="19"/>
              </w:rPr>
              <w:t>TODA Drivers &amp;</w:t>
              <w:br/>
              <w:t>Commuters</w:t>
            </w:r>
          </w:p>
        </w:tc>
        <w:tc>
          <w:tcPr>
            <w:tcW w:type="dxa" w:w="3168"/>
            <w:vAlign w:val="top"/>
            <w:shd w:fill="FFFFFF"/>
            <w:tcMar>
              <w:top w:w="100" w:type="dxa"/>
              <w:bottom w:w="100" w:type="dxa"/>
              <w:left w:w="110" w:type="dxa"/>
              <w:right w:w="110" w:type="dxa"/>
            </w:tcMar>
          </w:tcPr>
          <w:p>
            <w:pPr>
              <w:spacing w:before="40" w:after="40" w:line="276" w:lineRule="auto"/>
              <w:jc w:val="both"/>
            </w:pPr>
            <w:r>
              <w:rPr>
                <w:rFonts w:ascii="Times New Roman" w:hAnsi="Times New Roman"/>
                <w:color w:val="1E293B"/>
                <w:sz w:val="18"/>
              </w:rPr>
              <w:t>Regulated fare negotiation workflow: 20-second dynamic decision countdown timer; pickup &amp; destination trip summary card; driver fare adjuster stepper (₱5 increments); quick fare preset chips (₱20, ₱25, ₱30, ₱35, ₱40); "Send Fare Proposal" trigger; passenger-facing counter-offer display with price comparison; and 1-tap "Accept Proposed Fare" or "Decline / Next Driver" action triggers.</w:t>
            </w:r>
          </w:p>
        </w:tc>
      </w:tr>
      <w:tr>
        <w:trPr>
          <w:cantSplit/>
        </w:trPr>
        <w:tc>
          <w:tcPr>
            <w:tcW w:type="dxa" w:w="1440"/>
            <w:vAlign w:val="top"/>
            <w:shd w:fill="F8FAFC"/>
            <w:tcMar>
              <w:top w:w="100" w:type="dxa"/>
              <w:bottom w:w="100" w:type="dxa"/>
              <w:left w:w="110" w:type="dxa"/>
              <w:right w:w="110" w:type="dxa"/>
            </w:tcMar>
          </w:tcPr>
          <w:p>
            <w:pPr>
              <w:spacing w:before="40" w:after="40" w:line="276" w:lineRule="auto"/>
              <w:jc w:val="center"/>
            </w:pPr>
            <w:r>
              <w:rPr>
                <w:rFonts w:ascii="Times New Roman" w:hAnsi="Times New Roman"/>
                <w:b/>
                <w:color w:val="0F172A"/>
                <w:sz w:val="19"/>
              </w:rPr>
              <w:t>Figure C-8</w:t>
            </w:r>
          </w:p>
        </w:tc>
        <w:tc>
          <w:tcPr>
            <w:tcW w:type="dxa" w:w="2880"/>
            <w:vAlign w:val="top"/>
            <w:shd w:fill="F8FAFC"/>
            <w:tcMar>
              <w:top w:w="100" w:type="dxa"/>
              <w:bottom w:w="100" w:type="dxa"/>
              <w:left w:w="110" w:type="dxa"/>
              <w:right w:w="110" w:type="dxa"/>
            </w:tcMar>
          </w:tcPr>
          <w:p>
            <w:pPr>
              <w:spacing w:before="40" w:after="40" w:line="276" w:lineRule="auto"/>
              <w:jc w:val="left"/>
            </w:pPr>
            <w:r>
              <w:rPr>
                <w:rFonts w:ascii="Times New Roman" w:hAnsi="Times New Roman"/>
                <w:i/>
                <w:color w:val="475569"/>
                <w:sz w:val="18"/>
              </w:rPr>
              <w:t>Passenger Experience &amp; Commuter Hub</w:t>
              <w:br/>
            </w:r>
            <w:r>
              <w:rPr>
                <w:rFonts w:ascii="Times New Roman" w:hAnsi="Times New Roman"/>
                <w:b/>
                <w:color w:val="0F172A"/>
                <w:sz w:val="19"/>
              </w:rPr>
              <w:t>Active Ride Navigation &amp; Real-Time In-App Trip Chat Drawer (2 Panels)</w:t>
            </w:r>
          </w:p>
        </w:tc>
        <w:tc>
          <w:tcPr>
            <w:tcW w:type="dxa" w:w="1872"/>
            <w:vAlign w:val="top"/>
            <w:shd w:fill="F8FAFC"/>
            <w:tcMar>
              <w:top w:w="100" w:type="dxa"/>
              <w:bottom w:w="100" w:type="dxa"/>
              <w:left w:w="110" w:type="dxa"/>
              <w:right w:w="110" w:type="dxa"/>
            </w:tcMar>
          </w:tcPr>
          <w:p>
            <w:pPr>
              <w:spacing w:before="40" w:after="40" w:line="276" w:lineRule="auto"/>
              <w:jc w:val="center"/>
            </w:pPr>
            <w:r>
              <w:rPr>
                <w:rFonts w:ascii="Times New Roman" w:hAnsi="Times New Roman"/>
                <w:b w:val="0"/>
                <w:color w:val="1E293B"/>
                <w:sz w:val="19"/>
              </w:rPr>
              <w:t>Commuters &amp;</w:t>
              <w:br/>
              <w:t>TODA Drivers</w:t>
            </w:r>
          </w:p>
        </w:tc>
        <w:tc>
          <w:tcPr>
            <w:tcW w:type="dxa" w:w="3168"/>
            <w:vAlign w:val="top"/>
            <w:shd w:fill="F8FAFC"/>
            <w:tcMar>
              <w:top w:w="100" w:type="dxa"/>
              <w:bottom w:w="100" w:type="dxa"/>
              <w:left w:w="110" w:type="dxa"/>
              <w:right w:w="110" w:type="dxa"/>
            </w:tcMar>
          </w:tcPr>
          <w:p>
            <w:pPr>
              <w:spacing w:before="40" w:after="40" w:line="276" w:lineRule="auto"/>
              <w:jc w:val="both"/>
            </w:pPr>
            <w:r>
              <w:rPr>
                <w:rFonts w:ascii="Times New Roman" w:hAnsi="Times New Roman"/>
                <w:color w:val="1E293B"/>
                <w:sz w:val="18"/>
              </w:rPr>
              <w:t>Live transit execution interface: Assigned driver identity card (photo, verified name, 6-digit MTOP body number); pickup address card; cellular phone call trigger; slide-over in-app messaging drawer with unread message counter badge; quick-response message preset chips ("On my way, 2 mins!", "I am waiting outside", "Thank you!"); timestamped chronological message feed with read receipts; and 250-character live text input bar with instant WebSocket transmission.</w:t>
            </w:r>
          </w:p>
        </w:tc>
      </w:tr>
      <w:tr>
        <w:trPr>
          <w:cantSplit/>
        </w:trPr>
        <w:tc>
          <w:tcPr>
            <w:tcW w:type="dxa" w:w="1440"/>
            <w:vAlign w:val="top"/>
            <w:shd w:fill="FFFFFF"/>
            <w:tcMar>
              <w:top w:w="100" w:type="dxa"/>
              <w:bottom w:w="100" w:type="dxa"/>
              <w:left w:w="110" w:type="dxa"/>
              <w:right w:w="110" w:type="dxa"/>
            </w:tcMar>
          </w:tcPr>
          <w:p>
            <w:pPr>
              <w:spacing w:before="40" w:after="40" w:line="276" w:lineRule="auto"/>
              <w:jc w:val="center"/>
            </w:pPr>
            <w:r>
              <w:rPr>
                <w:rFonts w:ascii="Times New Roman" w:hAnsi="Times New Roman"/>
                <w:b/>
                <w:color w:val="0F172A"/>
                <w:sz w:val="19"/>
              </w:rPr>
              <w:t>Figure C-9</w:t>
            </w:r>
          </w:p>
        </w:tc>
        <w:tc>
          <w:tcPr>
            <w:tcW w:type="dxa" w:w="2880"/>
            <w:vAlign w:val="top"/>
            <w:shd w:fill="FFFFFF"/>
            <w:tcMar>
              <w:top w:w="100" w:type="dxa"/>
              <w:bottom w:w="100" w:type="dxa"/>
              <w:left w:w="110" w:type="dxa"/>
              <w:right w:w="110" w:type="dxa"/>
            </w:tcMar>
          </w:tcPr>
          <w:p>
            <w:pPr>
              <w:spacing w:before="40" w:after="40" w:line="276" w:lineRule="auto"/>
              <w:jc w:val="left"/>
            </w:pPr>
            <w:r>
              <w:rPr>
                <w:rFonts w:ascii="Times New Roman" w:hAnsi="Times New Roman"/>
                <w:i/>
                <w:color w:val="475569"/>
                <w:sz w:val="18"/>
              </w:rPr>
              <w:t>Passenger Experience &amp; Commuter Hub</w:t>
              <w:br/>
            </w:r>
            <w:r>
              <w:rPr>
                <w:rFonts w:ascii="Times New Roman" w:hAnsi="Times New Roman"/>
                <w:b/>
                <w:color w:val="0F172A"/>
                <w:sz w:val="19"/>
              </w:rPr>
              <w:t>Driver Arrival, Passenger Boarding &amp; Drop-Off Completion (2 Panels)</w:t>
            </w:r>
          </w:p>
        </w:tc>
        <w:tc>
          <w:tcPr>
            <w:tcW w:type="dxa" w:w="1872"/>
            <w:vAlign w:val="top"/>
            <w:shd w:fill="FFFFFF"/>
            <w:tcMar>
              <w:top w:w="100" w:type="dxa"/>
              <w:bottom w:w="100" w:type="dxa"/>
              <w:left w:w="110" w:type="dxa"/>
              <w:right w:w="110" w:type="dxa"/>
            </w:tcMar>
          </w:tcPr>
          <w:p>
            <w:pPr>
              <w:spacing w:before="40" w:after="40" w:line="276" w:lineRule="auto"/>
              <w:jc w:val="center"/>
            </w:pPr>
            <w:r>
              <w:rPr>
                <w:rFonts w:ascii="Times New Roman" w:hAnsi="Times New Roman"/>
                <w:b w:val="0"/>
                <w:color w:val="1E293B"/>
                <w:sz w:val="19"/>
              </w:rPr>
              <w:t>TODA Drivers</w:t>
            </w:r>
          </w:p>
        </w:tc>
        <w:tc>
          <w:tcPr>
            <w:tcW w:type="dxa" w:w="3168"/>
            <w:vAlign w:val="top"/>
            <w:shd w:fill="FFFFFF"/>
            <w:tcMar>
              <w:top w:w="100" w:type="dxa"/>
              <w:bottom w:w="100" w:type="dxa"/>
              <w:left w:w="110" w:type="dxa"/>
              <w:right w:w="110" w:type="dxa"/>
            </w:tcMar>
          </w:tcPr>
          <w:p>
            <w:pPr>
              <w:spacing w:before="40" w:after="40" w:line="276" w:lineRule="auto"/>
              <w:jc w:val="both"/>
            </w:pPr>
            <w:r>
              <w:rPr>
                <w:rFonts w:ascii="Times New Roman" w:hAnsi="Times New Roman"/>
                <w:color w:val="1E293B"/>
                <w:sz w:val="18"/>
              </w:rPr>
              <w:t>Driver transit progression lifecycle: "Arrived at Pickup" status banner with automated audio chime and push notification dispatch; passenger boarding verification card with destination route overview and agreed fare; "Start Trip / Depart" trigger transitioning status to "In Transit"; live vector approach route line on map; drop-off establishment &amp; passenger headcount summary; and "Complete Drop Off" CTA crediting driver wallet and activating terminal return guidance.</w:t>
            </w:r>
          </w:p>
        </w:tc>
      </w:tr>
      <w:tr>
        <w:trPr>
          <w:cantSplit/>
        </w:trPr>
        <w:tc>
          <w:tcPr>
            <w:tcW w:type="dxa" w:w="1440"/>
            <w:vAlign w:val="top"/>
            <w:shd w:fill="F8FAFC"/>
            <w:tcMar>
              <w:top w:w="100" w:type="dxa"/>
              <w:bottom w:w="100" w:type="dxa"/>
              <w:left w:w="110" w:type="dxa"/>
              <w:right w:w="110" w:type="dxa"/>
            </w:tcMar>
          </w:tcPr>
          <w:p>
            <w:pPr>
              <w:spacing w:before="40" w:after="40" w:line="276" w:lineRule="auto"/>
              <w:jc w:val="center"/>
            </w:pPr>
            <w:r>
              <w:rPr>
                <w:rFonts w:ascii="Times New Roman" w:hAnsi="Times New Roman"/>
                <w:b/>
                <w:color w:val="0F172A"/>
                <w:sz w:val="19"/>
              </w:rPr>
              <w:t>Figure C-10</w:t>
            </w:r>
          </w:p>
        </w:tc>
        <w:tc>
          <w:tcPr>
            <w:tcW w:type="dxa" w:w="2880"/>
            <w:vAlign w:val="top"/>
            <w:shd w:fill="F8FAFC"/>
            <w:tcMar>
              <w:top w:w="100" w:type="dxa"/>
              <w:bottom w:w="100" w:type="dxa"/>
              <w:left w:w="110" w:type="dxa"/>
              <w:right w:w="110" w:type="dxa"/>
            </w:tcMar>
          </w:tcPr>
          <w:p>
            <w:pPr>
              <w:spacing w:before="40" w:after="40" w:line="276" w:lineRule="auto"/>
              <w:jc w:val="left"/>
            </w:pPr>
            <w:r>
              <w:rPr>
                <w:rFonts w:ascii="Times New Roman" w:hAnsi="Times New Roman"/>
                <w:i/>
                <w:color w:val="475569"/>
                <w:sz w:val="18"/>
              </w:rPr>
              <w:t>Driver Operations &amp; Queue Dispatch Hub</w:t>
              <w:br/>
            </w:r>
            <w:r>
              <w:rPr>
                <w:rFonts w:ascii="Times New Roman" w:hAnsi="Times New Roman"/>
                <w:b/>
                <w:color w:val="0F172A"/>
                <w:sz w:val="19"/>
              </w:rPr>
              <w:t>Terminal Return Guidance &amp; Passenger 5-Star Service Rating Modal (2 Panels)</w:t>
            </w:r>
          </w:p>
        </w:tc>
        <w:tc>
          <w:tcPr>
            <w:tcW w:type="dxa" w:w="1872"/>
            <w:vAlign w:val="top"/>
            <w:shd w:fill="F8FAFC"/>
            <w:tcMar>
              <w:top w:w="100" w:type="dxa"/>
              <w:bottom w:w="100" w:type="dxa"/>
              <w:left w:w="110" w:type="dxa"/>
              <w:right w:w="110" w:type="dxa"/>
            </w:tcMar>
          </w:tcPr>
          <w:p>
            <w:pPr>
              <w:spacing w:before="40" w:after="40" w:line="276" w:lineRule="auto"/>
              <w:jc w:val="center"/>
            </w:pPr>
            <w:r>
              <w:rPr>
                <w:rFonts w:ascii="Times New Roman" w:hAnsi="Times New Roman"/>
                <w:b w:val="0"/>
                <w:color w:val="1E293B"/>
                <w:sz w:val="19"/>
              </w:rPr>
              <w:t>TODA Drivers &amp;</w:t>
              <w:br/>
              <w:t>Commuters</w:t>
            </w:r>
          </w:p>
        </w:tc>
        <w:tc>
          <w:tcPr>
            <w:tcW w:type="dxa" w:w="3168"/>
            <w:vAlign w:val="top"/>
            <w:shd w:fill="F8FAFC"/>
            <w:tcMar>
              <w:top w:w="100" w:type="dxa"/>
              <w:bottom w:w="100" w:type="dxa"/>
              <w:left w:w="110" w:type="dxa"/>
              <w:right w:w="110" w:type="dxa"/>
            </w:tcMar>
          </w:tcPr>
          <w:p>
            <w:pPr>
              <w:spacing w:before="40" w:after="40" w:line="276" w:lineRule="auto"/>
              <w:jc w:val="both"/>
            </w:pPr>
            <w:r>
              <w:rPr>
                <w:rFonts w:ascii="Times New Roman" w:hAnsi="Times New Roman"/>
                <w:color w:val="1E293B"/>
                <w:sz w:val="18"/>
              </w:rPr>
              <w:t>Post-trip completion workflows: Driver side receives real-time earnings credit toast (+₱60.00), turn-by-turn map route guiding tricycle back to Santa Rosa Homes central terminal, 35-meter geofence-restricted auto check-in trigger, and "Wayside Passenger" pickup button; Commuter side receives trip completed celebration banner, total fare paid receipt summary with driver MTOP info, interactive 1-to-5 star service rating selector with verbal descriptors, commendation chips ("Safe Driving", "Polite Driver", "Clean Tricycle", "On-Time Arrival"), and permanent rating submission CTA.</w:t>
            </w:r>
          </w:p>
        </w:tc>
      </w:tr>
      <w:tr>
        <w:trPr>
          <w:cantSplit/>
        </w:trPr>
        <w:tc>
          <w:tcPr>
            <w:tcW w:type="dxa" w:w="1440"/>
            <w:vAlign w:val="top"/>
            <w:shd w:fill="FFFFFF"/>
            <w:tcMar>
              <w:top w:w="100" w:type="dxa"/>
              <w:bottom w:w="100" w:type="dxa"/>
              <w:left w:w="110" w:type="dxa"/>
              <w:right w:w="110" w:type="dxa"/>
            </w:tcMar>
          </w:tcPr>
          <w:p>
            <w:pPr>
              <w:spacing w:before="40" w:after="40" w:line="276" w:lineRule="auto"/>
              <w:jc w:val="center"/>
            </w:pPr>
            <w:r>
              <w:rPr>
                <w:rFonts w:ascii="Times New Roman" w:hAnsi="Times New Roman"/>
                <w:b/>
                <w:color w:val="0F172A"/>
                <w:sz w:val="19"/>
              </w:rPr>
              <w:t>Figure C-11</w:t>
            </w:r>
          </w:p>
        </w:tc>
        <w:tc>
          <w:tcPr>
            <w:tcW w:type="dxa" w:w="2880"/>
            <w:vAlign w:val="top"/>
            <w:shd w:fill="FFFFFF"/>
            <w:tcMar>
              <w:top w:w="100" w:type="dxa"/>
              <w:bottom w:w="100" w:type="dxa"/>
              <w:left w:w="110" w:type="dxa"/>
              <w:right w:w="110" w:type="dxa"/>
            </w:tcMar>
          </w:tcPr>
          <w:p>
            <w:pPr>
              <w:spacing w:before="40" w:after="40" w:line="276" w:lineRule="auto"/>
              <w:jc w:val="left"/>
            </w:pPr>
            <w:r>
              <w:rPr>
                <w:rFonts w:ascii="Times New Roman" w:hAnsi="Times New Roman"/>
                <w:i/>
                <w:color w:val="475569"/>
                <w:sz w:val="18"/>
              </w:rPr>
              <w:t>Driver Operations &amp; Queue Dispatch Hub</w:t>
              <w:br/>
            </w:r>
            <w:r>
              <w:rPr>
                <w:rFonts w:ascii="Times New Roman" w:hAnsi="Times New Roman"/>
                <w:b/>
                <w:color w:val="0F172A"/>
                <w:sz w:val="19"/>
              </w:rPr>
              <w:t>Driver Queue Hero Card, Duty Toggle, &amp; Active Queue Roster (2 Panels)</w:t>
            </w:r>
          </w:p>
        </w:tc>
        <w:tc>
          <w:tcPr>
            <w:tcW w:type="dxa" w:w="1872"/>
            <w:vAlign w:val="top"/>
            <w:shd w:fill="FFFFFF"/>
            <w:tcMar>
              <w:top w:w="100" w:type="dxa"/>
              <w:bottom w:w="100" w:type="dxa"/>
              <w:left w:w="110" w:type="dxa"/>
              <w:right w:w="110" w:type="dxa"/>
            </w:tcMar>
          </w:tcPr>
          <w:p>
            <w:pPr>
              <w:spacing w:before="40" w:after="40" w:line="276" w:lineRule="auto"/>
              <w:jc w:val="center"/>
            </w:pPr>
            <w:r>
              <w:rPr>
                <w:rFonts w:ascii="Times New Roman" w:hAnsi="Times New Roman"/>
                <w:b w:val="0"/>
                <w:color w:val="1E293B"/>
                <w:sz w:val="19"/>
              </w:rPr>
              <w:t>TODA Drivers</w:t>
            </w:r>
          </w:p>
        </w:tc>
        <w:tc>
          <w:tcPr>
            <w:tcW w:type="dxa" w:w="3168"/>
            <w:vAlign w:val="top"/>
            <w:shd w:fill="FFFFFF"/>
            <w:tcMar>
              <w:top w:w="100" w:type="dxa"/>
              <w:bottom w:w="100" w:type="dxa"/>
              <w:left w:w="110" w:type="dxa"/>
              <w:right w:w="110" w:type="dxa"/>
            </w:tcMar>
          </w:tcPr>
          <w:p>
            <w:pPr>
              <w:spacing w:before="40" w:after="40" w:line="276" w:lineRule="auto"/>
              <w:jc w:val="both"/>
            </w:pPr>
            <w:r>
              <w:rPr>
                <w:rFonts w:ascii="Times New Roman" w:hAnsi="Times New Roman"/>
                <w:color w:val="1E293B"/>
                <w:sz w:val="18"/>
              </w:rPr>
              <w:t>Terminal queue management console: Offline standby duty status indicator; floating "Go On-Duty" power switch; radiant green "#1 in Queue" hero card designating top dispatch priority; "Next for Dispatch" readiness notice; "Start Terminal Walk-In Ride" action button; live FIFO-ordered terminal queue roster of stationed drivers; active "Drivers On Trip" monitor; and dispatcher manual drag-and-drop queue reorder gripper.</w:t>
            </w:r>
          </w:p>
        </w:tc>
      </w:tr>
      <w:tr>
        <w:trPr>
          <w:cantSplit/>
        </w:trPr>
        <w:tc>
          <w:tcPr>
            <w:tcW w:type="dxa" w:w="1440"/>
            <w:vAlign w:val="top"/>
            <w:shd w:fill="F8FAFC"/>
            <w:tcMar>
              <w:top w:w="100" w:type="dxa"/>
              <w:bottom w:w="100" w:type="dxa"/>
              <w:left w:w="110" w:type="dxa"/>
              <w:right w:w="110" w:type="dxa"/>
            </w:tcMar>
          </w:tcPr>
          <w:p>
            <w:pPr>
              <w:spacing w:before="40" w:after="40" w:line="276" w:lineRule="auto"/>
              <w:jc w:val="center"/>
            </w:pPr>
            <w:r>
              <w:rPr>
                <w:rFonts w:ascii="Times New Roman" w:hAnsi="Times New Roman"/>
                <w:b/>
                <w:color w:val="0F172A"/>
                <w:sz w:val="19"/>
              </w:rPr>
              <w:t>Figure C-12</w:t>
            </w:r>
          </w:p>
        </w:tc>
        <w:tc>
          <w:tcPr>
            <w:tcW w:type="dxa" w:w="2880"/>
            <w:vAlign w:val="top"/>
            <w:shd w:fill="F8FAFC"/>
            <w:tcMar>
              <w:top w:w="100" w:type="dxa"/>
              <w:bottom w:w="100" w:type="dxa"/>
              <w:left w:w="110" w:type="dxa"/>
              <w:right w:w="110" w:type="dxa"/>
            </w:tcMar>
          </w:tcPr>
          <w:p>
            <w:pPr>
              <w:spacing w:before="40" w:after="40" w:line="276" w:lineRule="auto"/>
              <w:jc w:val="left"/>
            </w:pPr>
            <w:r>
              <w:rPr>
                <w:rFonts w:ascii="Times New Roman" w:hAnsi="Times New Roman"/>
                <w:i/>
                <w:color w:val="475569"/>
                <w:sz w:val="18"/>
              </w:rPr>
              <w:t>Driver Operations &amp; Queue Dispatch Hub</w:t>
              <w:br/>
            </w:r>
            <w:r>
              <w:rPr>
                <w:rFonts w:ascii="Times New Roman" w:hAnsi="Times New Roman"/>
                <w:b/>
                <w:color w:val="0F172A"/>
                <w:sz w:val="19"/>
              </w:rPr>
              <w:t>Terminal Walk-In &amp; Returning Wayside Dispatch Modals (2 Panels)</w:t>
            </w:r>
          </w:p>
        </w:tc>
        <w:tc>
          <w:tcPr>
            <w:tcW w:type="dxa" w:w="1872"/>
            <w:vAlign w:val="top"/>
            <w:shd w:fill="F8FAFC"/>
            <w:tcMar>
              <w:top w:w="100" w:type="dxa"/>
              <w:bottom w:w="100" w:type="dxa"/>
              <w:left w:w="110" w:type="dxa"/>
              <w:right w:w="110" w:type="dxa"/>
            </w:tcMar>
          </w:tcPr>
          <w:p>
            <w:pPr>
              <w:spacing w:before="40" w:after="40" w:line="276" w:lineRule="auto"/>
              <w:jc w:val="center"/>
            </w:pPr>
            <w:r>
              <w:rPr>
                <w:rFonts w:ascii="Times New Roman" w:hAnsi="Times New Roman"/>
                <w:b w:val="0"/>
                <w:color w:val="1E293B"/>
                <w:sz w:val="19"/>
              </w:rPr>
              <w:t>TODA Drivers</w:t>
            </w:r>
          </w:p>
        </w:tc>
        <w:tc>
          <w:tcPr>
            <w:tcW w:type="dxa" w:w="3168"/>
            <w:vAlign w:val="top"/>
            <w:shd w:fill="F8FAFC"/>
            <w:tcMar>
              <w:top w:w="100" w:type="dxa"/>
              <w:bottom w:w="100" w:type="dxa"/>
              <w:left w:w="110" w:type="dxa"/>
              <w:right w:w="110" w:type="dxa"/>
            </w:tcMar>
          </w:tcPr>
          <w:p>
            <w:pPr>
              <w:spacing w:before="40" w:after="40" w:line="276" w:lineRule="auto"/>
              <w:jc w:val="both"/>
            </w:pPr>
            <w:r>
              <w:rPr>
                <w:rFonts w:ascii="Times New Roman" w:hAnsi="Times New Roman"/>
                <w:color w:val="1E293B"/>
                <w:sz w:val="18"/>
              </w:rPr>
              <w:t>Dual-channel non-app dispatching forms: Terminal Walk-In Dispatch modal with fixed station origin, destination barangay selection chips, passenger capacity stepper, and computed regulated tariff calculation; Wayside Dispatch modal enabling returning en route drivers to log flagged passengers, select drop-off zones, compute transit fare, update driver ledger, and prevent unauthorized unregistered trips.</w:t>
            </w:r>
          </w:p>
        </w:tc>
      </w:tr>
      <w:tr>
        <w:trPr>
          <w:cantSplit/>
        </w:trPr>
        <w:tc>
          <w:tcPr>
            <w:tcW w:type="dxa" w:w="1440"/>
            <w:vAlign w:val="top"/>
            <w:shd w:fill="FFFFFF"/>
            <w:tcMar>
              <w:top w:w="100" w:type="dxa"/>
              <w:bottom w:w="100" w:type="dxa"/>
              <w:left w:w="110" w:type="dxa"/>
              <w:right w:w="110" w:type="dxa"/>
            </w:tcMar>
          </w:tcPr>
          <w:p>
            <w:pPr>
              <w:spacing w:before="40" w:after="40" w:line="276" w:lineRule="auto"/>
              <w:jc w:val="center"/>
            </w:pPr>
            <w:r>
              <w:rPr>
                <w:rFonts w:ascii="Times New Roman" w:hAnsi="Times New Roman"/>
                <w:b/>
                <w:color w:val="0F172A"/>
                <w:sz w:val="19"/>
              </w:rPr>
              <w:t>Figure C-13</w:t>
            </w:r>
          </w:p>
        </w:tc>
        <w:tc>
          <w:tcPr>
            <w:tcW w:type="dxa" w:w="2880"/>
            <w:vAlign w:val="top"/>
            <w:shd w:fill="FFFFFF"/>
            <w:tcMar>
              <w:top w:w="100" w:type="dxa"/>
              <w:bottom w:w="100" w:type="dxa"/>
              <w:left w:w="110" w:type="dxa"/>
              <w:right w:w="110" w:type="dxa"/>
            </w:tcMar>
          </w:tcPr>
          <w:p>
            <w:pPr>
              <w:spacing w:before="40" w:after="40" w:line="276" w:lineRule="auto"/>
              <w:jc w:val="left"/>
            </w:pPr>
            <w:r>
              <w:rPr>
                <w:rFonts w:ascii="Times New Roman" w:hAnsi="Times New Roman"/>
                <w:i/>
                <w:color w:val="475569"/>
                <w:sz w:val="18"/>
              </w:rPr>
              <w:t>Trip History &amp; Certified Digital Receipts</w:t>
              <w:br/>
            </w:r>
            <w:r>
              <w:rPr>
                <w:rFonts w:ascii="Times New Roman" w:hAnsi="Times New Roman"/>
                <w:b/>
                <w:color w:val="0F172A"/>
                <w:sz w:val="19"/>
              </w:rPr>
              <w:t>Trip History Ledger &amp; Certified Digital Fare Receipt Modal (2 Panels)</w:t>
            </w:r>
          </w:p>
        </w:tc>
        <w:tc>
          <w:tcPr>
            <w:tcW w:type="dxa" w:w="1872"/>
            <w:vAlign w:val="top"/>
            <w:shd w:fill="FFFFFF"/>
            <w:tcMar>
              <w:top w:w="100" w:type="dxa"/>
              <w:bottom w:w="100" w:type="dxa"/>
              <w:left w:w="110" w:type="dxa"/>
              <w:right w:w="110" w:type="dxa"/>
            </w:tcMar>
          </w:tcPr>
          <w:p>
            <w:pPr>
              <w:spacing w:before="40" w:after="40" w:line="276" w:lineRule="auto"/>
              <w:jc w:val="center"/>
            </w:pPr>
            <w:r>
              <w:rPr>
                <w:rFonts w:ascii="Times New Roman" w:hAnsi="Times New Roman"/>
                <w:b w:val="0"/>
                <w:color w:val="1E293B"/>
                <w:sz w:val="19"/>
              </w:rPr>
              <w:t>All System Roles</w:t>
              <w:br/>
              <w:t>(Commuters &amp;</w:t>
              <w:br/>
              <w:t>TODA Drivers)</w:t>
            </w:r>
          </w:p>
        </w:tc>
        <w:tc>
          <w:tcPr>
            <w:tcW w:type="dxa" w:w="3168"/>
            <w:vAlign w:val="top"/>
            <w:shd w:fill="FFFFFF"/>
            <w:tcMar>
              <w:top w:w="100" w:type="dxa"/>
              <w:bottom w:w="100" w:type="dxa"/>
              <w:left w:w="110" w:type="dxa"/>
              <w:right w:w="110" w:type="dxa"/>
            </w:tcMar>
          </w:tcPr>
          <w:p>
            <w:pPr>
              <w:spacing w:before="40" w:after="40" w:line="276" w:lineRule="auto"/>
              <w:jc w:val="both"/>
            </w:pPr>
            <w:r>
              <w:rPr>
                <w:rFonts w:ascii="Times New Roman" w:hAnsi="Times New Roman"/>
                <w:color w:val="1E293B"/>
                <w:sz w:val="18"/>
              </w:rPr>
              <w:t>Auditable transit record interface: Destination search bar; date horizon filter chips (All, Today, This Week); completed trip summary cards with timestamps and fare badges; dispatch mode indicator (Online App Booking vs. Terminal Walk-In); certified digital fare receipt modal with unique alphanumeric trip reference ID; color-coded transit route timeline (origin to destination); verified driver &amp; passenger identification stamp with MTOP badge; and itemized fare breakdown (base tariff, distance surcharge, total collected).</w:t>
            </w:r>
          </w:p>
        </w:tc>
      </w:tr>
      <w:tr>
        <w:trPr>
          <w:cantSplit/>
        </w:trPr>
        <w:tc>
          <w:tcPr>
            <w:tcW w:type="dxa" w:w="1440"/>
            <w:vAlign w:val="top"/>
            <w:shd w:fill="F8FAFC"/>
            <w:tcMar>
              <w:top w:w="100" w:type="dxa"/>
              <w:bottom w:w="100" w:type="dxa"/>
              <w:left w:w="110" w:type="dxa"/>
              <w:right w:w="110" w:type="dxa"/>
            </w:tcMar>
          </w:tcPr>
          <w:p>
            <w:pPr>
              <w:spacing w:before="40" w:after="40" w:line="276" w:lineRule="auto"/>
              <w:jc w:val="center"/>
            </w:pPr>
            <w:r>
              <w:rPr>
                <w:rFonts w:ascii="Times New Roman" w:hAnsi="Times New Roman"/>
                <w:b/>
                <w:color w:val="0F172A"/>
                <w:sz w:val="19"/>
              </w:rPr>
              <w:t>Figure C-14</w:t>
            </w:r>
          </w:p>
        </w:tc>
        <w:tc>
          <w:tcPr>
            <w:tcW w:type="dxa" w:w="2880"/>
            <w:vAlign w:val="top"/>
            <w:shd w:fill="F8FAFC"/>
            <w:tcMar>
              <w:top w:w="100" w:type="dxa"/>
              <w:bottom w:w="100" w:type="dxa"/>
              <w:left w:w="110" w:type="dxa"/>
              <w:right w:w="110" w:type="dxa"/>
            </w:tcMar>
          </w:tcPr>
          <w:p>
            <w:pPr>
              <w:spacing w:before="40" w:after="40" w:line="276" w:lineRule="auto"/>
              <w:jc w:val="left"/>
            </w:pPr>
            <w:r>
              <w:rPr>
                <w:rFonts w:ascii="Times New Roman" w:hAnsi="Times New Roman"/>
                <w:i/>
                <w:color w:val="475569"/>
                <w:sz w:val="18"/>
              </w:rPr>
              <w:t>Driver Performance &amp; Analytics</w:t>
              <w:br/>
            </w:r>
            <w:r>
              <w:rPr>
                <w:rFonts w:ascii="Times New Roman" w:hAnsi="Times New Roman"/>
                <w:b/>
                <w:color w:val="0F172A"/>
                <w:sz w:val="19"/>
              </w:rPr>
              <w:t>Driver Rating Deck, 7-Day Revenue Trends, &amp; Channel Share Analytics (2 Panels)</w:t>
            </w:r>
          </w:p>
        </w:tc>
        <w:tc>
          <w:tcPr>
            <w:tcW w:type="dxa" w:w="1872"/>
            <w:vAlign w:val="top"/>
            <w:shd w:fill="F8FAFC"/>
            <w:tcMar>
              <w:top w:w="100" w:type="dxa"/>
              <w:bottom w:w="100" w:type="dxa"/>
              <w:left w:w="110" w:type="dxa"/>
              <w:right w:w="110" w:type="dxa"/>
            </w:tcMar>
          </w:tcPr>
          <w:p>
            <w:pPr>
              <w:spacing w:before="40" w:after="40" w:line="276" w:lineRule="auto"/>
              <w:jc w:val="center"/>
            </w:pPr>
            <w:r>
              <w:rPr>
                <w:rFonts w:ascii="Times New Roman" w:hAnsi="Times New Roman"/>
                <w:b w:val="0"/>
                <w:color w:val="1E293B"/>
                <w:sz w:val="19"/>
              </w:rPr>
              <w:t>TODA Drivers</w:t>
            </w:r>
          </w:p>
        </w:tc>
        <w:tc>
          <w:tcPr>
            <w:tcW w:type="dxa" w:w="3168"/>
            <w:vAlign w:val="top"/>
            <w:shd w:fill="F8FAFC"/>
            <w:tcMar>
              <w:top w:w="100" w:type="dxa"/>
              <w:bottom w:w="100" w:type="dxa"/>
              <w:left w:w="110" w:type="dxa"/>
              <w:right w:w="110" w:type="dxa"/>
            </w:tcMar>
          </w:tcPr>
          <w:p>
            <w:pPr>
              <w:spacing w:before="40" w:after="40" w:line="276" w:lineRule="auto"/>
              <w:jc w:val="both"/>
            </w:pPr>
            <w:r>
              <w:rPr>
                <w:rFonts w:ascii="Times New Roman" w:hAnsi="Times New Roman"/>
                <w:color w:val="1E293B"/>
                <w:sz w:val="18"/>
              </w:rPr>
              <w:t>Driver performance &amp; financial analytics dashboard: Timeframe filter pill switcher (Today, This Week, This Month, All Time); animated radial satisfaction rating ring displaying cumulative star score (e.g. 4.0 / 5.0); total completed trips counter; aggregate gross revenue KPI card; interactive 7-day revenue trend pillar chart highlighting peak earning day badge; and dispatch channel share breakdown bars comparing earnings across Terminal Queue, Online Dispatch, and Wayside Flagged rides.</w:t>
            </w:r>
          </w:p>
        </w:tc>
      </w:tr>
      <w:tr>
        <w:trPr>
          <w:cantSplit/>
        </w:trPr>
        <w:tc>
          <w:tcPr>
            <w:tcW w:type="dxa" w:w="1440"/>
            <w:vAlign w:val="top"/>
            <w:shd w:fill="FFFFFF"/>
            <w:tcMar>
              <w:top w:w="100" w:type="dxa"/>
              <w:bottom w:w="100" w:type="dxa"/>
              <w:left w:w="110" w:type="dxa"/>
              <w:right w:w="110" w:type="dxa"/>
            </w:tcMar>
          </w:tcPr>
          <w:p>
            <w:pPr>
              <w:spacing w:before="40" w:after="40" w:line="276" w:lineRule="auto"/>
              <w:jc w:val="center"/>
            </w:pPr>
            <w:r>
              <w:rPr>
                <w:rFonts w:ascii="Times New Roman" w:hAnsi="Times New Roman"/>
                <w:b/>
                <w:color w:val="0F172A"/>
                <w:sz w:val="19"/>
              </w:rPr>
              <w:t>Figure C-15</w:t>
            </w:r>
          </w:p>
        </w:tc>
        <w:tc>
          <w:tcPr>
            <w:tcW w:type="dxa" w:w="2880"/>
            <w:vAlign w:val="top"/>
            <w:shd w:fill="FFFFFF"/>
            <w:tcMar>
              <w:top w:w="100" w:type="dxa"/>
              <w:bottom w:w="100" w:type="dxa"/>
              <w:left w:w="110" w:type="dxa"/>
              <w:right w:w="110" w:type="dxa"/>
            </w:tcMar>
          </w:tcPr>
          <w:p>
            <w:pPr>
              <w:spacing w:before="40" w:after="40" w:line="276" w:lineRule="auto"/>
              <w:jc w:val="left"/>
            </w:pPr>
            <w:r>
              <w:rPr>
                <w:rFonts w:ascii="Times New Roman" w:hAnsi="Times New Roman"/>
                <w:i/>
                <w:color w:val="475569"/>
                <w:sz w:val="18"/>
              </w:rPr>
              <w:t>TODA Administration Console &amp; Dispatch Management</w:t>
              <w:br/>
            </w:r>
            <w:r>
              <w:rPr>
                <w:rFonts w:ascii="Times New Roman" w:hAnsi="Times New Roman"/>
                <w:b/>
                <w:color w:val="0F172A"/>
                <w:sz w:val="19"/>
              </w:rPr>
              <w:t>TODA Admin Console — Applicant Review Roster &amp; Document Verification Modal (2 Panels)</w:t>
            </w:r>
          </w:p>
        </w:tc>
        <w:tc>
          <w:tcPr>
            <w:tcW w:type="dxa" w:w="1872"/>
            <w:vAlign w:val="top"/>
            <w:shd w:fill="FFFFFF"/>
            <w:tcMar>
              <w:top w:w="100" w:type="dxa"/>
              <w:bottom w:w="100" w:type="dxa"/>
              <w:left w:w="110" w:type="dxa"/>
              <w:right w:w="110" w:type="dxa"/>
            </w:tcMar>
          </w:tcPr>
          <w:p>
            <w:pPr>
              <w:spacing w:before="40" w:after="40" w:line="276" w:lineRule="auto"/>
              <w:jc w:val="center"/>
            </w:pPr>
            <w:r>
              <w:rPr>
                <w:rFonts w:ascii="Times New Roman" w:hAnsi="Times New Roman"/>
                <w:b w:val="0"/>
                <w:color w:val="1E293B"/>
                <w:sz w:val="19"/>
              </w:rPr>
              <w:t>TODA Station Admins</w:t>
              <w:br/>
              <w:t>&amp; Officers</w:t>
            </w:r>
          </w:p>
        </w:tc>
        <w:tc>
          <w:tcPr>
            <w:tcW w:type="dxa" w:w="3168"/>
            <w:vAlign w:val="top"/>
            <w:shd w:fill="FFFFFF"/>
            <w:tcMar>
              <w:top w:w="100" w:type="dxa"/>
              <w:bottom w:w="100" w:type="dxa"/>
              <w:left w:w="110" w:type="dxa"/>
              <w:right w:w="110" w:type="dxa"/>
            </w:tcMar>
          </w:tcPr>
          <w:p>
            <w:pPr>
              <w:spacing w:before="40" w:after="40" w:line="276" w:lineRule="auto"/>
              <w:jc w:val="both"/>
            </w:pPr>
            <w:r>
              <w:rPr>
                <w:rFonts w:ascii="Times New Roman" w:hAnsi="Times New Roman"/>
                <w:color w:val="1E293B"/>
                <w:sz w:val="18"/>
              </w:rPr>
              <w:t>Station administration onboarding tool: Segmented console navigation bar (Drivers, Queue, Reports, Broadcast); applicant status filter chips (All, Pending Review, Approved, Suspended); applicant summary roster cards (name, submitted MTOP permit number, timestamp); digital verification modal header; high-resolution scanned MTOP and driver's license document viewer; administrative compliance notes textarea; and one-click "Approve &amp; Grant Accreditation" or "Reject Application" decision buttons.</w:t>
            </w:r>
          </w:p>
        </w:tc>
      </w:tr>
      <w:tr>
        <w:trPr>
          <w:cantSplit/>
        </w:trPr>
        <w:tc>
          <w:tcPr>
            <w:tcW w:type="dxa" w:w="1440"/>
            <w:vAlign w:val="top"/>
            <w:shd w:fill="F8FAFC"/>
            <w:tcMar>
              <w:top w:w="100" w:type="dxa"/>
              <w:bottom w:w="100" w:type="dxa"/>
              <w:left w:w="110" w:type="dxa"/>
              <w:right w:w="110" w:type="dxa"/>
            </w:tcMar>
          </w:tcPr>
          <w:p>
            <w:pPr>
              <w:spacing w:before="40" w:after="40" w:line="276" w:lineRule="auto"/>
              <w:jc w:val="center"/>
            </w:pPr>
            <w:r>
              <w:rPr>
                <w:rFonts w:ascii="Times New Roman" w:hAnsi="Times New Roman"/>
                <w:b/>
                <w:color w:val="0F172A"/>
                <w:sz w:val="19"/>
              </w:rPr>
              <w:t>Figure C-16</w:t>
            </w:r>
          </w:p>
        </w:tc>
        <w:tc>
          <w:tcPr>
            <w:tcW w:type="dxa" w:w="2880"/>
            <w:vAlign w:val="top"/>
            <w:shd w:fill="F8FAFC"/>
            <w:tcMar>
              <w:top w:w="100" w:type="dxa"/>
              <w:bottom w:w="100" w:type="dxa"/>
              <w:left w:w="110" w:type="dxa"/>
              <w:right w:w="110" w:type="dxa"/>
            </w:tcMar>
          </w:tcPr>
          <w:p>
            <w:pPr>
              <w:spacing w:before="40" w:after="40" w:line="276" w:lineRule="auto"/>
              <w:jc w:val="left"/>
            </w:pPr>
            <w:r>
              <w:rPr>
                <w:rFonts w:ascii="Times New Roman" w:hAnsi="Times New Roman"/>
                <w:i/>
                <w:color w:val="475569"/>
                <w:sz w:val="18"/>
              </w:rPr>
              <w:t>TODA Administration Console &amp; Dispatch Management</w:t>
              <w:br/>
            </w:r>
            <w:r>
              <w:rPr>
                <w:rFonts w:ascii="Times New Roman" w:hAnsi="Times New Roman"/>
                <w:b/>
                <w:color w:val="0F172A"/>
                <w:sz w:val="19"/>
              </w:rPr>
              <w:t>Terminal Queue Drag-and-Drop Management &amp; Incident Dispute Ledger (2 Panels)</w:t>
            </w:r>
          </w:p>
        </w:tc>
        <w:tc>
          <w:tcPr>
            <w:tcW w:type="dxa" w:w="1872"/>
            <w:vAlign w:val="top"/>
            <w:shd w:fill="F8FAFC"/>
            <w:tcMar>
              <w:top w:w="100" w:type="dxa"/>
              <w:bottom w:w="100" w:type="dxa"/>
              <w:left w:w="110" w:type="dxa"/>
              <w:right w:w="110" w:type="dxa"/>
            </w:tcMar>
          </w:tcPr>
          <w:p>
            <w:pPr>
              <w:spacing w:before="40" w:after="40" w:line="276" w:lineRule="auto"/>
              <w:jc w:val="center"/>
            </w:pPr>
            <w:r>
              <w:rPr>
                <w:rFonts w:ascii="Times New Roman" w:hAnsi="Times New Roman"/>
                <w:b w:val="0"/>
                <w:color w:val="1E293B"/>
                <w:sz w:val="19"/>
              </w:rPr>
              <w:t>TODA Station Admins</w:t>
              <w:br/>
              <w:t>&amp; Dispatchers</w:t>
            </w:r>
          </w:p>
        </w:tc>
        <w:tc>
          <w:tcPr>
            <w:tcW w:type="dxa" w:w="3168"/>
            <w:vAlign w:val="top"/>
            <w:shd w:fill="F8FAFC"/>
            <w:tcMar>
              <w:top w:w="100" w:type="dxa"/>
              <w:bottom w:w="100" w:type="dxa"/>
              <w:left w:w="110" w:type="dxa"/>
              <w:right w:w="110" w:type="dxa"/>
            </w:tcMar>
          </w:tcPr>
          <w:p>
            <w:pPr>
              <w:spacing w:before="40" w:after="40" w:line="276" w:lineRule="auto"/>
              <w:jc w:val="both"/>
            </w:pPr>
            <w:r>
              <w:rPr>
                <w:rFonts w:ascii="Times New Roman" w:hAnsi="Times New Roman"/>
                <w:color w:val="1E293B"/>
                <w:sz w:val="18"/>
              </w:rPr>
              <w:t>Operational fleet supervision console: Live terminal queue line roster of stationed drivers; "Emergency Reset Stalled Trip" trigger to restore stalled driver units into queue sequence; commuter incident grievance dispute ledger with search bar and status filters (All, Pending, Investigating, Resolved); detailed passenger incident report cards (reference ID, violation category, complainant details, driver MTOP permit); and case adjudication status tags (Investigating, Resolved, Dismissed).</w:t>
            </w:r>
          </w:p>
        </w:tc>
      </w:tr>
      <w:tr>
        <w:trPr>
          <w:cantSplit/>
        </w:trPr>
        <w:tc>
          <w:tcPr>
            <w:tcW w:type="dxa" w:w="1440"/>
            <w:vAlign w:val="top"/>
            <w:shd w:fill="FFFFFF"/>
            <w:tcMar>
              <w:top w:w="100" w:type="dxa"/>
              <w:bottom w:w="100" w:type="dxa"/>
              <w:left w:w="110" w:type="dxa"/>
              <w:right w:w="110" w:type="dxa"/>
            </w:tcMar>
          </w:tcPr>
          <w:p>
            <w:pPr>
              <w:spacing w:before="40" w:after="40" w:line="276" w:lineRule="auto"/>
              <w:jc w:val="center"/>
            </w:pPr>
            <w:r>
              <w:rPr>
                <w:rFonts w:ascii="Times New Roman" w:hAnsi="Times New Roman"/>
                <w:b/>
                <w:color w:val="0F172A"/>
                <w:sz w:val="19"/>
              </w:rPr>
              <w:t>Figure C-17</w:t>
            </w:r>
          </w:p>
        </w:tc>
        <w:tc>
          <w:tcPr>
            <w:tcW w:type="dxa" w:w="2880"/>
            <w:vAlign w:val="top"/>
            <w:shd w:fill="FFFFFF"/>
            <w:tcMar>
              <w:top w:w="100" w:type="dxa"/>
              <w:bottom w:w="100" w:type="dxa"/>
              <w:left w:w="110" w:type="dxa"/>
              <w:right w:w="110" w:type="dxa"/>
            </w:tcMar>
          </w:tcPr>
          <w:p>
            <w:pPr>
              <w:spacing w:before="40" w:after="40" w:line="276" w:lineRule="auto"/>
              <w:jc w:val="left"/>
            </w:pPr>
            <w:r>
              <w:rPr>
                <w:rFonts w:ascii="Times New Roman" w:hAnsi="Times New Roman"/>
                <w:i/>
                <w:color w:val="475569"/>
                <w:sz w:val="18"/>
              </w:rPr>
              <w:t>TODA Administration Console &amp; Dispatch Management</w:t>
              <w:br/>
            </w:r>
            <w:r>
              <w:rPr>
                <w:rFonts w:ascii="Times New Roman" w:hAnsi="Times New Roman"/>
                <w:b/>
                <w:color w:val="0F172A"/>
                <w:sz w:val="19"/>
              </w:rPr>
              <w:t>TODA Broadcast Announcement Dispatcher &amp; Live Member Notification Drawer (2 Panels)</w:t>
            </w:r>
          </w:p>
        </w:tc>
        <w:tc>
          <w:tcPr>
            <w:tcW w:type="dxa" w:w="1872"/>
            <w:vAlign w:val="top"/>
            <w:shd w:fill="FFFFFF"/>
            <w:tcMar>
              <w:top w:w="100" w:type="dxa"/>
              <w:bottom w:w="100" w:type="dxa"/>
              <w:left w:w="110" w:type="dxa"/>
              <w:right w:w="110" w:type="dxa"/>
            </w:tcMar>
          </w:tcPr>
          <w:p>
            <w:pPr>
              <w:spacing w:before="40" w:after="40" w:line="276" w:lineRule="auto"/>
              <w:jc w:val="center"/>
            </w:pPr>
            <w:r>
              <w:rPr>
                <w:rFonts w:ascii="Times New Roman" w:hAnsi="Times New Roman"/>
                <w:b w:val="0"/>
                <w:color w:val="1E293B"/>
                <w:sz w:val="19"/>
              </w:rPr>
              <w:t>TODA Admins &amp;</w:t>
              <w:br/>
              <w:t>Association Members</w:t>
            </w:r>
          </w:p>
        </w:tc>
        <w:tc>
          <w:tcPr>
            <w:tcW w:type="dxa" w:w="3168"/>
            <w:vAlign w:val="top"/>
            <w:shd w:fill="FFFFFF"/>
            <w:tcMar>
              <w:top w:w="100" w:type="dxa"/>
              <w:bottom w:w="100" w:type="dxa"/>
              <w:left w:w="110" w:type="dxa"/>
              <w:right w:w="110" w:type="dxa"/>
            </w:tcMar>
          </w:tcPr>
          <w:p>
            <w:pPr>
              <w:spacing w:before="40" w:after="40" w:line="276" w:lineRule="auto"/>
              <w:jc w:val="both"/>
            </w:pPr>
            <w:r>
              <w:rPr>
                <w:rFonts w:ascii="Times New Roman" w:hAnsi="Times New Roman"/>
                <w:color w:val="1E293B"/>
                <w:sz w:val="18"/>
              </w:rPr>
              <w:t>Association-wide communication hub: "Create Announcement" modal trigger for drafting meeting notices, fare advisories, or urgent weather warnings; published announcement bulletins archive with delivery counts; target audience filter tags (All Members, Drivers Only, Commuters Only); member slide-over notification drawer with unread counter badge; high-priority bulletin alert cards with issuance timestamps; and "Mark All as Read &amp; Dismiss" batch acknowledgment controls.</w:t>
            </w:r>
          </w:p>
        </w:tc>
      </w:tr>
      <w:tr>
        <w:trPr>
          <w:cantSplit/>
        </w:trPr>
        <w:tc>
          <w:tcPr>
            <w:tcW w:type="dxa" w:w="1440"/>
            <w:vAlign w:val="top"/>
            <w:shd w:fill="F8FAFC"/>
            <w:tcMar>
              <w:top w:w="100" w:type="dxa"/>
              <w:bottom w:w="100" w:type="dxa"/>
              <w:left w:w="110" w:type="dxa"/>
              <w:right w:w="110" w:type="dxa"/>
            </w:tcMar>
          </w:tcPr>
          <w:p>
            <w:pPr>
              <w:spacing w:before="40" w:after="40" w:line="276" w:lineRule="auto"/>
              <w:jc w:val="center"/>
            </w:pPr>
            <w:r>
              <w:rPr>
                <w:rFonts w:ascii="Times New Roman" w:hAnsi="Times New Roman"/>
                <w:b/>
                <w:color w:val="0F172A"/>
                <w:sz w:val="19"/>
              </w:rPr>
              <w:t>Figure C-18</w:t>
            </w:r>
          </w:p>
        </w:tc>
        <w:tc>
          <w:tcPr>
            <w:tcW w:type="dxa" w:w="2880"/>
            <w:vAlign w:val="top"/>
            <w:shd w:fill="F8FAFC"/>
            <w:tcMar>
              <w:top w:w="100" w:type="dxa"/>
              <w:bottom w:w="100" w:type="dxa"/>
              <w:left w:w="110" w:type="dxa"/>
              <w:right w:w="110" w:type="dxa"/>
            </w:tcMar>
          </w:tcPr>
          <w:p>
            <w:pPr>
              <w:spacing w:before="40" w:after="40" w:line="276" w:lineRule="auto"/>
              <w:jc w:val="left"/>
            </w:pPr>
            <w:r>
              <w:rPr>
                <w:rFonts w:ascii="Times New Roman" w:hAnsi="Times New Roman"/>
                <w:i/>
                <w:color w:val="475569"/>
                <w:sz w:val="18"/>
              </w:rPr>
              <w:t>Official Report Generator &amp; A4 Print Engine</w:t>
              <w:br/>
            </w:r>
            <w:r>
              <w:rPr>
                <w:rFonts w:ascii="Times New Roman" w:hAnsi="Times New Roman"/>
                <w:b/>
                <w:color w:val="0F172A"/>
                <w:sz w:val="19"/>
              </w:rPr>
              <w:t>Official Report Generator — Template Configuration &amp; Certified A4 PDF Preview (2 Panels)</w:t>
            </w:r>
          </w:p>
        </w:tc>
        <w:tc>
          <w:tcPr>
            <w:tcW w:type="dxa" w:w="1872"/>
            <w:vAlign w:val="top"/>
            <w:shd w:fill="F8FAFC"/>
            <w:tcMar>
              <w:top w:w="100" w:type="dxa"/>
              <w:bottom w:w="100" w:type="dxa"/>
              <w:left w:w="110" w:type="dxa"/>
              <w:right w:w="110" w:type="dxa"/>
            </w:tcMar>
          </w:tcPr>
          <w:p>
            <w:pPr>
              <w:spacing w:before="40" w:after="40" w:line="276" w:lineRule="auto"/>
              <w:jc w:val="center"/>
            </w:pPr>
            <w:r>
              <w:rPr>
                <w:rFonts w:ascii="Times New Roman" w:hAnsi="Times New Roman"/>
                <w:b w:val="0"/>
                <w:color w:val="1E293B"/>
                <w:sz w:val="19"/>
              </w:rPr>
              <w:t>TODA Admins &amp;</w:t>
              <w:br/>
              <w:t>Certifying Officers</w:t>
            </w:r>
          </w:p>
        </w:tc>
        <w:tc>
          <w:tcPr>
            <w:tcW w:type="dxa" w:w="3168"/>
            <w:vAlign w:val="top"/>
            <w:shd w:fill="F8FAFC"/>
            <w:tcMar>
              <w:top w:w="100" w:type="dxa"/>
              <w:bottom w:w="100" w:type="dxa"/>
              <w:left w:w="110" w:type="dxa"/>
              <w:right w:w="110" w:type="dxa"/>
            </w:tcMar>
          </w:tcPr>
          <w:p>
            <w:pPr>
              <w:spacing w:before="40" w:after="40" w:line="276" w:lineRule="auto"/>
              <w:jc w:val="both"/>
            </w:pPr>
            <w:r>
              <w:rPr>
                <w:rFonts w:ascii="Times New Roman" w:hAnsi="Times New Roman"/>
                <w:color w:val="1E293B"/>
                <w:sz w:val="18"/>
              </w:rPr>
              <w:t>Municipal-grade reporting engine: 4 certified report template selection cards (Incident Matrix, Grouped Fleet Roster, Chronological Ledger, Operations Dashboard); date horizon filter pills (All Time, Today, This Week, Month-to-Date, Last Month, Custom Date Range); certifying officer signatory name and designation inputs; "Generate Report" primary CTA; interactive A4 sheet canvas with zoom controls (Fit to Page, 50% to 200%) and panning; and "Print / Save PDF" action button triggering standard A4 browser print engine with formal CSS print styling.</w:t>
            </w:r>
          </w:p>
        </w:tc>
      </w:tr>
      <w:tr>
        <w:trPr>
          <w:cantSplit/>
        </w:trPr>
        <w:tc>
          <w:tcPr>
            <w:tcW w:type="dxa" w:w="1440"/>
            <w:vAlign w:val="top"/>
            <w:shd w:fill="FFFFFF"/>
            <w:tcMar>
              <w:top w:w="100" w:type="dxa"/>
              <w:bottom w:w="100" w:type="dxa"/>
              <w:left w:w="110" w:type="dxa"/>
              <w:right w:w="110" w:type="dxa"/>
            </w:tcMar>
          </w:tcPr>
          <w:p>
            <w:pPr>
              <w:spacing w:before="40" w:after="40" w:line="276" w:lineRule="auto"/>
              <w:jc w:val="center"/>
            </w:pPr>
            <w:r>
              <w:rPr>
                <w:rFonts w:ascii="Times New Roman" w:hAnsi="Times New Roman"/>
                <w:b/>
                <w:color w:val="0F172A"/>
                <w:sz w:val="19"/>
              </w:rPr>
              <w:t>Figure C-19</w:t>
            </w:r>
          </w:p>
        </w:tc>
        <w:tc>
          <w:tcPr>
            <w:tcW w:type="dxa" w:w="2880"/>
            <w:vAlign w:val="top"/>
            <w:shd w:fill="FFFFFF"/>
            <w:tcMar>
              <w:top w:w="100" w:type="dxa"/>
              <w:bottom w:w="100" w:type="dxa"/>
              <w:left w:w="110" w:type="dxa"/>
              <w:right w:w="110" w:type="dxa"/>
            </w:tcMar>
          </w:tcPr>
          <w:p>
            <w:pPr>
              <w:spacing w:before="40" w:after="40" w:line="276" w:lineRule="auto"/>
              <w:jc w:val="left"/>
            </w:pPr>
            <w:r>
              <w:rPr>
                <w:rFonts w:ascii="Times New Roman" w:hAnsi="Times New Roman"/>
                <w:i/>
                <w:color w:val="475569"/>
                <w:sz w:val="18"/>
              </w:rPr>
              <w:t>Superadmin Master Governance Console</w:t>
              <w:br/>
            </w:r>
            <w:r>
              <w:rPr>
                <w:rFonts w:ascii="Times New Roman" w:hAnsi="Times New Roman"/>
                <w:b/>
                <w:color w:val="0F172A"/>
                <w:sz w:val="19"/>
              </w:rPr>
              <w:t>SuperAdmin Governance Console — Executive Pulse &amp; Fleet Operations</w:t>
            </w:r>
          </w:p>
        </w:tc>
        <w:tc>
          <w:tcPr>
            <w:tcW w:type="dxa" w:w="1872"/>
            <w:vAlign w:val="top"/>
            <w:shd w:fill="FFFFFF"/>
            <w:tcMar>
              <w:top w:w="100" w:type="dxa"/>
              <w:bottom w:w="100" w:type="dxa"/>
              <w:left w:w="110" w:type="dxa"/>
              <w:right w:w="110" w:type="dxa"/>
            </w:tcMar>
          </w:tcPr>
          <w:p>
            <w:pPr>
              <w:spacing w:before="40" w:after="40" w:line="276" w:lineRule="auto"/>
              <w:jc w:val="center"/>
            </w:pPr>
            <w:r>
              <w:rPr>
                <w:rFonts w:ascii="Times New Roman" w:hAnsi="Times New Roman"/>
                <w:b w:val="0"/>
                <w:color w:val="1E293B"/>
                <w:sz w:val="19"/>
              </w:rPr>
              <w:t>Superadmins &amp;</w:t>
              <w:br/>
              <w:t>LGU Regulators</w:t>
            </w:r>
          </w:p>
        </w:tc>
        <w:tc>
          <w:tcPr>
            <w:tcW w:type="dxa" w:w="3168"/>
            <w:vAlign w:val="top"/>
            <w:shd w:fill="FFFFFF"/>
            <w:tcMar>
              <w:top w:w="100" w:type="dxa"/>
              <w:bottom w:w="100" w:type="dxa"/>
              <w:left w:w="110" w:type="dxa"/>
              <w:right w:w="110" w:type="dxa"/>
            </w:tcMar>
          </w:tcPr>
          <w:p>
            <w:pPr>
              <w:spacing w:before="40" w:after="40" w:line="276" w:lineRule="auto"/>
              <w:jc w:val="both"/>
            </w:pPr>
            <w:r>
              <w:rPr>
                <w:rFonts w:ascii="Times New Roman" w:hAnsi="Times New Roman"/>
                <w:color w:val="1E293B"/>
                <w:sz w:val="18"/>
              </w:rPr>
              <w:t>Executive governance overview: Master sidebar navigation with 7 core system modules (Overview, Users, Tariffs &amp; Radar, MTOP Fleet, Bylaws, Branding, Audit Logs); real-time Executive Pulse server health banner (PHP 8.3.33 runtime, database storage size, operational uptime); key performance metric cards (gross dispatched volume, active registered fleet count); interactive 7-day dispatch volume SVG area chart plotting completed rides, walk-ins, and revenue; and real-time live audit ledger feed tracking active and completed dispatches.</w:t>
            </w:r>
          </w:p>
        </w:tc>
      </w:tr>
      <w:tr>
        <w:trPr>
          <w:cantSplit/>
        </w:trPr>
        <w:tc>
          <w:tcPr>
            <w:tcW w:type="dxa" w:w="1440"/>
            <w:vAlign w:val="top"/>
            <w:shd w:fill="F8FAFC"/>
            <w:tcMar>
              <w:top w:w="100" w:type="dxa"/>
              <w:bottom w:w="100" w:type="dxa"/>
              <w:left w:w="110" w:type="dxa"/>
              <w:right w:w="110" w:type="dxa"/>
            </w:tcMar>
          </w:tcPr>
          <w:p>
            <w:pPr>
              <w:spacing w:before="40" w:after="40" w:line="276" w:lineRule="auto"/>
              <w:jc w:val="center"/>
            </w:pPr>
            <w:r>
              <w:rPr>
                <w:rFonts w:ascii="Times New Roman" w:hAnsi="Times New Roman"/>
                <w:b/>
                <w:color w:val="0F172A"/>
                <w:sz w:val="19"/>
              </w:rPr>
              <w:t>Figure C-20</w:t>
            </w:r>
          </w:p>
        </w:tc>
        <w:tc>
          <w:tcPr>
            <w:tcW w:type="dxa" w:w="2880"/>
            <w:vAlign w:val="top"/>
            <w:shd w:fill="F8FAFC"/>
            <w:tcMar>
              <w:top w:w="100" w:type="dxa"/>
              <w:bottom w:w="100" w:type="dxa"/>
              <w:left w:w="110" w:type="dxa"/>
              <w:right w:w="110" w:type="dxa"/>
            </w:tcMar>
          </w:tcPr>
          <w:p>
            <w:pPr>
              <w:spacing w:before="40" w:after="40" w:line="276" w:lineRule="auto"/>
              <w:jc w:val="left"/>
            </w:pPr>
            <w:r>
              <w:rPr>
                <w:rFonts w:ascii="Times New Roman" w:hAnsi="Times New Roman"/>
                <w:i/>
                <w:color w:val="475569"/>
                <w:sz w:val="18"/>
              </w:rPr>
              <w:t>Superadmin Master Governance Console</w:t>
              <w:br/>
            </w:r>
            <w:r>
              <w:rPr>
                <w:rFonts w:ascii="Times New Roman" w:hAnsi="Times New Roman"/>
                <w:b/>
                <w:color w:val="0F172A"/>
                <w:sz w:val="19"/>
              </w:rPr>
              <w:t>SuperAdmin Tariff Matrix Calibration &amp; Terminal Geofence Radar Controls</w:t>
            </w:r>
          </w:p>
        </w:tc>
        <w:tc>
          <w:tcPr>
            <w:tcW w:type="dxa" w:w="1872"/>
            <w:vAlign w:val="top"/>
            <w:shd w:fill="F8FAFC"/>
            <w:tcMar>
              <w:top w:w="100" w:type="dxa"/>
              <w:bottom w:w="100" w:type="dxa"/>
              <w:left w:w="110" w:type="dxa"/>
              <w:right w:w="110" w:type="dxa"/>
            </w:tcMar>
          </w:tcPr>
          <w:p>
            <w:pPr>
              <w:spacing w:before="40" w:after="40" w:line="276" w:lineRule="auto"/>
              <w:jc w:val="center"/>
            </w:pPr>
            <w:r>
              <w:rPr>
                <w:rFonts w:ascii="Times New Roman" w:hAnsi="Times New Roman"/>
                <w:b w:val="0"/>
                <w:color w:val="1E293B"/>
                <w:sz w:val="19"/>
              </w:rPr>
              <w:t>Superadmins &amp;</w:t>
              <w:br/>
              <w:t>LGU Regulators</w:t>
            </w:r>
          </w:p>
        </w:tc>
        <w:tc>
          <w:tcPr>
            <w:tcW w:type="dxa" w:w="3168"/>
            <w:vAlign w:val="top"/>
            <w:shd w:fill="F8FAFC"/>
            <w:tcMar>
              <w:top w:w="100" w:type="dxa"/>
              <w:bottom w:w="100" w:type="dxa"/>
              <w:left w:w="110" w:type="dxa"/>
              <w:right w:w="110" w:type="dxa"/>
            </w:tcMar>
          </w:tcPr>
          <w:p>
            <w:pPr>
              <w:spacing w:before="40" w:after="40" w:line="276" w:lineRule="auto"/>
              <w:jc w:val="both"/>
            </w:pPr>
            <w:r>
              <w:rPr>
                <w:rFonts w:ascii="Times New Roman" w:hAnsi="Times New Roman"/>
                <w:color w:val="1E293B"/>
                <w:sz w:val="18"/>
              </w:rPr>
              <w:t>Municipal fare &amp; geospatial governance module: Regulated distance tariff input form configuring Base Fare (₱15.00), Succeeding Distance Rate (₱3.50/km), Night Differential Surcharge (₱5.00), and Terminal Fund Fee (₱2.00); central terminal GPS anchor coordinate inputs and check-in radar radius calibration (35 meters); master database table of popular community landmarks with fixed municipal fares; and "Save Tariff &amp; Radar Calibration" CTA persisting updates across all commuter and driver mobile clients instantly.</w:t>
            </w:r>
          </w:p>
        </w:tc>
      </w:tr>
      <w:tr>
        <w:trPr>
          <w:cantSplit/>
        </w:trPr>
        <w:tc>
          <w:tcPr>
            <w:tcW w:type="dxa" w:w="1440"/>
            <w:vAlign w:val="top"/>
            <w:shd w:fill="FFFFFF"/>
            <w:tcMar>
              <w:top w:w="100" w:type="dxa"/>
              <w:bottom w:w="100" w:type="dxa"/>
              <w:left w:w="110" w:type="dxa"/>
              <w:right w:w="110" w:type="dxa"/>
            </w:tcMar>
          </w:tcPr>
          <w:p>
            <w:pPr>
              <w:spacing w:before="40" w:after="40" w:line="276" w:lineRule="auto"/>
              <w:jc w:val="center"/>
            </w:pPr>
            <w:r>
              <w:rPr>
                <w:rFonts w:ascii="Times New Roman" w:hAnsi="Times New Roman"/>
                <w:b/>
                <w:color w:val="0F172A"/>
                <w:sz w:val="19"/>
              </w:rPr>
              <w:t>Figure C-21</w:t>
            </w:r>
          </w:p>
        </w:tc>
        <w:tc>
          <w:tcPr>
            <w:tcW w:type="dxa" w:w="2880"/>
            <w:vAlign w:val="top"/>
            <w:shd w:fill="FFFFFF"/>
            <w:tcMar>
              <w:top w:w="100" w:type="dxa"/>
              <w:bottom w:w="100" w:type="dxa"/>
              <w:left w:w="110" w:type="dxa"/>
              <w:right w:w="110" w:type="dxa"/>
            </w:tcMar>
          </w:tcPr>
          <w:p>
            <w:pPr>
              <w:spacing w:before="40" w:after="40" w:line="276" w:lineRule="auto"/>
              <w:jc w:val="left"/>
            </w:pPr>
            <w:r>
              <w:rPr>
                <w:rFonts w:ascii="Times New Roman" w:hAnsi="Times New Roman"/>
                <w:i/>
                <w:color w:val="475569"/>
                <w:sz w:val="18"/>
              </w:rPr>
              <w:t>User Profile &amp; Device Settings</w:t>
              <w:br/>
            </w:r>
            <w:r>
              <w:rPr>
                <w:rFonts w:ascii="Times New Roman" w:hAnsi="Times New Roman"/>
                <w:b/>
                <w:color w:val="0F172A"/>
                <w:sz w:val="19"/>
              </w:rPr>
              <w:t>User Profile Management, Accredited MTOP Badge, &amp; Hardware Preferences (2 Panels)</w:t>
            </w:r>
          </w:p>
        </w:tc>
        <w:tc>
          <w:tcPr>
            <w:tcW w:type="dxa" w:w="1872"/>
            <w:vAlign w:val="top"/>
            <w:shd w:fill="FFFFFF"/>
            <w:tcMar>
              <w:top w:w="100" w:type="dxa"/>
              <w:bottom w:w="100" w:type="dxa"/>
              <w:left w:w="110" w:type="dxa"/>
              <w:right w:w="110" w:type="dxa"/>
            </w:tcMar>
          </w:tcPr>
          <w:p>
            <w:pPr>
              <w:spacing w:before="40" w:after="40" w:line="276" w:lineRule="auto"/>
              <w:jc w:val="center"/>
            </w:pPr>
            <w:r>
              <w:rPr>
                <w:rFonts w:ascii="Times New Roman" w:hAnsi="Times New Roman"/>
                <w:b w:val="0"/>
                <w:color w:val="1E293B"/>
                <w:sz w:val="19"/>
              </w:rPr>
              <w:t>All System Roles</w:t>
              <w:br/>
              <w:t>(Commuters, TODA Drivers, Admins, Superadmins)</w:t>
            </w:r>
          </w:p>
        </w:tc>
        <w:tc>
          <w:tcPr>
            <w:tcW w:type="dxa" w:w="3168"/>
            <w:vAlign w:val="top"/>
            <w:shd w:fill="FFFFFF"/>
            <w:tcMar>
              <w:top w:w="100" w:type="dxa"/>
              <w:bottom w:w="100" w:type="dxa"/>
              <w:left w:w="110" w:type="dxa"/>
              <w:right w:w="110" w:type="dxa"/>
            </w:tcMar>
          </w:tcPr>
          <w:p>
            <w:pPr>
              <w:spacing w:before="40" w:after="40" w:line="276" w:lineRule="auto"/>
              <w:jc w:val="both"/>
            </w:pPr>
            <w:r>
              <w:rPr>
                <w:rFonts w:ascii="Times New Roman" w:hAnsi="Times New Roman"/>
                <w:color w:val="1E293B"/>
                <w:sz w:val="18"/>
              </w:rPr>
              <w:t>Account profile &amp; device diagnostics suite: User avatar photo container with floating camera upload FAB supporting real-time photo replacement; verified legal name display with official accredited MTOP franchise badge; daily trips count and earnings balance metric tiles; official compliance status indicator badge (Approved, Under Review, Suspended); hardware sensor permission status indicators (high-precision GPS geolocation, push notifications, and Web Audio API synthesized dispatch chime toggles); automated "Run Device Sensor Diagnostics" action tool; and secure "Log Out &amp; End Session" termination button.</w:t>
            </w:r>
          </w:p>
        </w:tc>
      </w:tr>
    </w:tbl>
    <w:p>
      <w:pPr>
        <w:spacing w:before="280" w:after="80" w:line="276" w:lineRule="auto"/>
        <w:jc w:val="both"/>
      </w:pPr>
      <w:r>
        <w:rPr>
          <w:rFonts w:ascii="Times New Roman" w:hAnsi="Times New Roman"/>
          <w:b/>
          <w:color w:val="0F172A"/>
          <w:sz w:val="19"/>
        </w:rPr>
        <w:t xml:space="preserve">Summary Overview: </w:t>
      </w:r>
      <w:r>
        <w:rPr>
          <w:rFonts w:ascii="Times New Roman" w:hAnsi="Times New Roman"/>
          <w:i/>
          <w:color w:val="475569"/>
          <w:sz w:val="19"/>
        </w:rPr>
        <w:t>Across all 21 user manual figures, the SRH LINK-TODA system establishes a comprehensive end-to-end digital dispatch, queue governance, tariff computation, communication, and reporting workflow tailored for the Santa Rosa Homes Tricycle Operators and Drivers Association. The architecture strictly isolates public fare inquiries from private queue telemetry and administrative compliance data while providing responsive vector mapping, automated SMS/Gmail 2FA security, dynamic fare bargaining, and certified A4 reporting standards.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