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719455</wp:posOffset>
            </wp:positionH>
            <wp:positionV relativeFrom="page">
              <wp:posOffset>723265</wp:posOffset>
            </wp:positionV>
            <wp:extent cx="1783080" cy="2172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40" w:right="38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Compagnie des Archers de Rennes SIRET: 419 595 137 00011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Dispensé d'immatriculation au registre du commerce et des sociétés (RCS) et au répertoire des métiers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229235</wp:posOffset>
            </wp:positionV>
            <wp:extent cx="2198370" cy="6896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Référence : AR-FA0112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80"/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: 26 mars  2015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Collège Saint Vincent de la Providence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Rennes</w:t>
      </w:r>
    </w:p>
    <w:p>
      <w:pPr>
        <w:sectPr>
          <w:pgSz w:w="11900" w:h="16840" w:orient="portrait"/>
          <w:cols w:equalWidth="0" w:num="2">
            <w:col w:w="4220" w:space="1180"/>
            <w:col w:w="3080"/>
          </w:cols>
          <w:pgMar w:left="1100" w:top="1440" w:right="232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Intitulé: Inscription Compagnie d’Archers de rennes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375920</wp:posOffset>
            </wp:positionV>
            <wp:extent cx="6203950" cy="14274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8"/>
        </w:trPr>
        <w:tc>
          <w:tcPr>
            <w:tcW w:w="1260" w:type="dxa"/>
            <w:vAlign w:val="bottom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Quantité</w:t>
            </w:r>
          </w:p>
        </w:tc>
        <w:tc>
          <w:tcPr>
            <w:tcW w:w="4540" w:type="dxa"/>
            <w:vAlign w:val="bottom"/>
          </w:tcPr>
          <w:p>
            <w:pPr>
              <w:ind w:left="1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Désignation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shd w:val="clear" w:color="auto" w:fill="FF6600"/>
              </w:rPr>
              <w:t>Prix unitaire TTC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right"/>
              <w:ind w:right="2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Prix total TTC</w:t>
            </w:r>
          </w:p>
        </w:tc>
      </w:tr>
      <w:tr>
        <w:trPr>
          <w:trHeight w:val="74"/>
        </w:trPr>
        <w:tc>
          <w:tcPr>
            <w:tcW w:w="12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78"/>
        </w:trPr>
        <w:tc>
          <w:tcPr>
            <w:tcW w:w="1260" w:type="dxa"/>
            <w:vAlign w:val="bottom"/>
          </w:tcPr>
          <w:p>
            <w:pPr>
              <w:jc w:val="right"/>
              <w:ind w:right="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auto"/>
              </w:rPr>
              <w:t>1</w:t>
            </w:r>
          </w:p>
        </w:tc>
        <w:tc>
          <w:tcPr>
            <w:tcW w:w="4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auto"/>
              </w:rPr>
              <w:t>Animation tir à l’arc, 22 élèves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110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110</w:t>
            </w:r>
          </w:p>
        </w:tc>
      </w:tr>
      <w:tr>
        <w:trPr>
          <w:trHeight w:val="78"/>
        </w:trPr>
        <w:tc>
          <w:tcPr>
            <w:tcW w:w="12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56"/>
        </w:trPr>
        <w:tc>
          <w:tcPr>
            <w:tcW w:w="12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1"/>
        </w:trPr>
        <w:tc>
          <w:tcPr>
            <w:tcW w:w="12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4911725</wp:posOffset>
            </wp:positionH>
            <wp:positionV relativeFrom="paragraph">
              <wp:posOffset>173355</wp:posOffset>
            </wp:positionV>
            <wp:extent cx="1271270" cy="9429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sz w:val="24"/>
          <w:szCs w:val="24"/>
          <w:color w:val="auto"/>
        </w:rPr>
      </w:pPr>
    </w:p>
    <w:tbl>
      <w:tblPr>
        <w:tblLayout w:type="fixed"/>
        <w:tblInd w:w="5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4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Total TTC</w:t>
            </w:r>
          </w:p>
        </w:tc>
        <w:tc>
          <w:tcPr>
            <w:tcW w:w="196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auto"/>
              </w:rPr>
              <w:t>110,00 €</w:t>
            </w:r>
          </w:p>
        </w:tc>
      </w:tr>
      <w:tr>
        <w:trPr>
          <w:trHeight w:val="130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5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TVA non applicable, art. 293 B du CGI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 votre aimable règlement,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Cordialement,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right="358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808080"/>
        </w:rPr>
        <w:t>Conditions de paiement : paiement à réception de facture, à 30 jours. Aucun escompte consenti pour règlement anticipé</w:t>
      </w:r>
    </w:p>
    <w:p>
      <w:pPr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808080"/>
        </w:rPr>
        <w:t>Tout incident de paiement est passible d'intérêt de retard. Le montant des pénalités résulte de l'application aux sommes restant dues d'un taux d'intérêt légal en vigueur au moment de l'incident.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808080"/>
        </w:rPr>
        <w:t>Indemnité forfaitaire pour frais de recouvrement due au créancier en cas de retard de paiement: 40€</w:t>
      </w:r>
    </w:p>
    <w:sectPr>
      <w:pgSz w:w="11900" w:h="16840" w:orient="portrait"/>
      <w:cols w:equalWidth="0" w:num="1">
        <w:col w:w="9700"/>
      </w:cols>
      <w:pgMar w:left="1140" w:top="1440" w:right="106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2017-02-11T14:22:07Z</dcterms:created>
  <dcterms:modified xsi:type="dcterms:W3CDTF">2017-02-11T14:22:07Z</dcterms:modified>
</cp:coreProperties>
</file>