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EXCAVATOR TREE SPADE</w:t>
      </w:r>
    </w:p>
    <w:p w:rsidR="00000000" w:rsidDel="00000000" w:rsidP="00000000" w:rsidRDefault="00000000" w:rsidRPr="00000000" w14:paraId="0000000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BIG JOHN is excited to announce the excavator mounted tree spades to our line up. We offer them in a model 65, 80, and 90. Depending on the model they are made to move trees from 15 cm to 30 cm in diameter and comes complete with electric valve bank an wireless remote control. </w:t>
      </w:r>
    </w:p>
    <w:p w:rsidR="00000000" w:rsidDel="00000000" w:rsidP="00000000" w:rsidRDefault="00000000" w:rsidRPr="00000000" w14:paraId="00000003">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Joining the BIG JOHN family means getting exceptional customer services for the life of your spade. </w:t>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FEATURES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Tree diameter size depends on the model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Hydraulic Gate Lock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Root Ball weight 1.950 – 5.350 kg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Standars Wireless Remote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Drive System 20 gpm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Blade Material AR550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SPECIFICATIONS </w:t>
      </w:r>
    </w:p>
    <w:tbl>
      <w:tblPr>
        <w:tblStyle w:val="Table1"/>
        <w:tblW w:w="9026.0" w:type="dxa"/>
        <w:jc w:val="left"/>
        <w:tblLayout w:type="fixed"/>
        <w:tblLook w:val="0400"/>
      </w:tblPr>
      <w:tblGrid>
        <w:gridCol w:w="5623"/>
        <w:gridCol w:w="3403"/>
        <w:tblGridChange w:id="0">
          <w:tblGrid>
            <w:gridCol w:w="5623"/>
            <w:gridCol w:w="3403"/>
          </w:tblGrid>
        </w:tblGridChange>
      </w:tblGrid>
      <w:tr>
        <w:trPr>
          <w:cantSplit w:val="0"/>
          <w:tblHeader w:val="1"/>
        </w:trPr>
        <w:tc>
          <w:tcPr>
            <w:shd w:fill="ffffff" w:val="clear"/>
            <w:tcMar>
              <w:top w:w="300.0" w:type="dxa"/>
              <w:left w:w="300.0" w:type="dxa"/>
              <w:bottom w:w="300.0" w:type="dxa"/>
              <w:right w:w="300.0" w:type="dxa"/>
            </w:tcMar>
            <w:vAlign w:val="center"/>
          </w:tcPr>
          <w:p w:rsidR="00000000" w:rsidDel="00000000" w:rsidP="00000000" w:rsidRDefault="00000000" w:rsidRPr="00000000" w14:paraId="0000000E">
            <w:pP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MODEL 65, 80 &amp; 90</w:t>
            </w:r>
          </w:p>
        </w:tc>
        <w:tc>
          <w:tcPr>
            <w:shd w:fill="ffffff" w:val="clear"/>
            <w:tcMar>
              <w:top w:w="300.0" w:type="dxa"/>
              <w:left w:w="300.0" w:type="dxa"/>
              <w:bottom w:w="300.0" w:type="dxa"/>
              <w:right w:w="300.0" w:type="dxa"/>
            </w:tcMar>
            <w:vAlign w:val="center"/>
          </w:tcPr>
          <w:p w:rsidR="00000000" w:rsidDel="00000000" w:rsidP="00000000" w:rsidRDefault="00000000" w:rsidRPr="00000000" w14:paraId="0000000F">
            <w:pPr>
              <w:rPr>
                <w:rFonts w:ascii="Century Gothic" w:cs="Century Gothic" w:eastAsia="Century Gothic" w:hAnsi="Century Gothic"/>
                <w:b w:val="1"/>
              </w:rPr>
            </w:pPr>
            <w:r w:rsidDel="00000000" w:rsidR="00000000" w:rsidRPr="00000000">
              <w:rPr>
                <w:rtl w:val="0"/>
              </w:rPr>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Tree Trunk Diameter</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15 – 30 cm </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Root Ball Width </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157 – 229 cm  </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Root Ball Depth</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135 – 152 cm </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Root Ball Weight</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1.950 – 5.350 kg </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Machine Weight</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2.630 – 4.760 kg </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Blade Tower Height</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217 – 267 cm </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Gate Opening</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102 – 183 cm </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Opening Width </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234 – 251 cm </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Number of Spades</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4</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Hydraulic Gate Lock</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Yes</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Adjustable Mechanical Pads</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Yes</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Blade Material</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AR550</w:t>
            </w:r>
          </w:p>
        </w:tc>
      </w:tr>
      <w:tr>
        <w:trPr>
          <w:cantSplit w:val="0"/>
          <w:tblHeader w:val="0"/>
        </w:trPr>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Drive System (Minimum GPM)</w:t>
            </w:r>
          </w:p>
        </w:tc>
        <w:tc>
          <w:tcPr>
            <w:tcBorders>
              <w:bottom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20 </w:t>
            </w:r>
          </w:p>
        </w:tc>
      </w:tr>
    </w:tbl>
    <w:p w:rsidR="00000000" w:rsidDel="00000000" w:rsidP="00000000" w:rsidRDefault="00000000" w:rsidRPr="00000000" w14:paraId="0000002A">
      <w:pPr>
        <w:rPr>
          <w:rFonts w:ascii="Century Gothic" w:cs="Century Gothic" w:eastAsia="Century Gothic" w:hAnsi="Century Gothic"/>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1962150</wp:posOffset>
            </wp:positionH>
            <wp:positionV relativeFrom="paragraph">
              <wp:posOffset>48260</wp:posOffset>
            </wp:positionV>
            <wp:extent cx="1076325" cy="1695450"/>
            <wp:effectExtent b="0" l="0" r="0" t="0"/>
            <wp:wrapNone/>
            <wp:docPr id="4" name="image1.png"/>
            <a:graphic>
              <a:graphicData uri="http://schemas.openxmlformats.org/drawingml/2006/picture">
                <pic:pic>
                  <pic:nvPicPr>
                    <pic:cNvPr id="0" name="image1.png"/>
                    <pic:cNvPicPr preferRelativeResize="0"/>
                  </pic:nvPicPr>
                  <pic:blipFill>
                    <a:blip r:embed="rId7"/>
                    <a:srcRect b="15832" l="41048" r="40173" t="31783"/>
                    <a:stretch>
                      <a:fillRect/>
                    </a:stretch>
                  </pic:blipFill>
                  <pic:spPr>
                    <a:xfrm>
                      <a:off x="0" y="0"/>
                      <a:ext cx="1076325" cy="16954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1689100</wp:posOffset>
                </wp:positionV>
                <wp:extent cx="1905000" cy="304800"/>
                <wp:effectExtent b="0" l="0" r="0" t="0"/>
                <wp:wrapNone/>
                <wp:docPr id="3" name=""/>
                <a:graphic>
                  <a:graphicData uri="http://schemas.microsoft.com/office/word/2010/wordprocessingShape">
                    <wps:wsp>
                      <wps:cNvSpPr/>
                      <wps:cNvPr id="2" name="Shape 2"/>
                      <wps:spPr>
                        <a:xfrm>
                          <a:off x="4398263" y="3632363"/>
                          <a:ext cx="1895475" cy="2952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Standard Wireless Remote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1689100</wp:posOffset>
                </wp:positionV>
                <wp:extent cx="1905000" cy="3048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05000" cy="304800"/>
                        </a:xfrm>
                        <a:prstGeom prst="rect"/>
                        <a:ln/>
                      </pic:spPr>
                    </pic:pic>
                  </a:graphicData>
                </a:graphic>
              </wp:anchor>
            </w:drawing>
          </mc:Fallback>
        </mc:AlternateConten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B373F"/>
    <w:rPr>
      <w:color w:val="0563c1" w:themeColor="hyperlink"/>
      <w:u w:val="single"/>
    </w:rPr>
  </w:style>
  <w:style w:type="character" w:styleId="UnresolvedMention" w:customStyle="1">
    <w:name w:val="Unresolved Mention"/>
    <w:basedOn w:val="DefaultParagraphFont"/>
    <w:uiPriority w:val="99"/>
    <w:semiHidden w:val="1"/>
    <w:unhideWhenUsed w:val="1"/>
    <w:rsid w:val="005B373F"/>
    <w:rPr>
      <w:color w:val="605e5c"/>
      <w:shd w:color="auto" w:fill="e1dfdd" w:val="clear"/>
    </w:rPr>
  </w:style>
  <w:style w:type="paragraph" w:styleId="ListParagraph">
    <w:name w:val="List Paragraph"/>
    <w:basedOn w:val="Normal"/>
    <w:uiPriority w:val="34"/>
    <w:qFormat w:val="1"/>
    <w:rsid w:val="007526C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Tt7A8loBQ9D0qQJqOvSFHHxFRA==">CgMxLjAyCGguZ2pkZ3hzOAByITExRnh6TDV0R05uRjJfeDljMXVtbVFrSmN2Yy1RRjY4RA==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2024-10-17T06:59:00Z</dcterms:created>
  <dc:creator>Reza Poerwandito</dc:creator>
</cp:coreProperties>
</file>