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Querschnitt der Zielgeometrie.</w:t>
      </w:r>
      <w:r>
        <w:t xml:space="preserve"> So muss die Skizze aussehen: Patch auf 1,6 mm FR4 über dem durchgehenden Ground, der Port als rote Linie in der Mitte. Das gezeigte Gitter ist schon auf die dünne Schicht verfeinert — im Mesh Viewer, nicht in FreeCAD.</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Hauptfenster beim Start.</w:t>
      </w:r>
      <w:r>
        <w:t xml:space="preserve"> Tabs Geometry / Mesh Viewer / S-Params / Antenna / Field Viewer, links der Projektbaum, in der Mitte die Import- und Materialbereiche, unten Log und Mesh-Report.</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Nach dem Laden des Presets.</w:t>
      </w:r>
      <w:r>
        <w:t xml:space="preserve"> Projektbaum mit Ground, Substrat und Patch, Materialien, Port und NF2FF-Box; im Geometrie-Text stehen die Kennwerte des Presets und der Hinweis, wie man den AR-Dip über eine Frequenzliste sichtbar macht.</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Zwei Tabs; oben die berechneten Werte (f_max, λ, Zellgrößen, Luftrand), darunter Endkriterium, Timesteps, Threads und Randbedingungen.</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und Boxen.</w:t>
      </w:r>
      <w:r>
        <w:t xml:space="preserve"> Die Overview-Ansicht zeigt alle drei Projektionen: schwarz gestrichelt die Rechen-Domain, violett gestrichelt die NF2FF-Box, dazu Zellzahlen pro Achse und die Domain-Größe. Der schwarze Rahmen im Mesh Viewer ist genau diese Domain.</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Script-Editor.</w:t>
      </w:r>
      <w:r>
        <w:t xml:space="preserve"> Zeigt project_run.py — das Skript, das openEMS wirklich ausführt — mit Save, Revert und Regenerate from project. Eigene Änderungen werden vor dem Neuerzeugen als project_run_edited.py gesichert.</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S-Params.</w:t>
      </w:r>
      <w:r>
        <w:t xml:space="preserve"> Smith-Chart, |S| dB, Phase, VSWR; Marker per Klick, „Go to S-min“ springt auf das Resonanzminimum, „Pop out“ löst den Plot in ein eigenes Fenster.</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Drei Schalter erweitern die Ansicht in Richtung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zeigt die X-, Y- und Z-Schnittfläche gleichzeitig; die gewählte Achse folgt dem Schieber, die beiden anderen schneiden durch die Mitte ihres Bereichs</w:t>
            </w:r>
          </w:p>
        </w:tc>
      </w:tr>
      <w:tr>
        <w:tc>
          <w:tcPr>
            <w:tcW w:type="dxa" w:w="5040"/>
          </w:tcPr>
          <w:p>
            <w:r/>
            <w:r>
              <w:t>Contours</w:t>
            </w:r>
          </w:p>
        </w:tc>
        <w:tc>
          <w:tcPr>
            <w:tcW w:type="dxa" w:w="5040"/>
          </w:tcPr>
          <w:p>
            <w:r/>
            <w:r>
              <w:t>legt 2…24 Iso-Linien des gewählten Arrays auf die Schnittflächen</w:t>
            </w:r>
          </w:p>
        </w:tc>
      </w:tr>
      <w:tr>
        <w:tc>
          <w:tcPr>
            <w:tcW w:type="dxa" w:w="5040"/>
          </w:tcPr>
          <w:p>
            <w:r/>
            <w:r>
              <w:t>Streamlines</w:t>
            </w:r>
          </w:p>
        </w:tc>
        <w:tc>
          <w:tcPr>
            <w:tcW w:type="dxa" w:w="5040"/>
          </w:tcPr>
          <w:p>
            <w:r/>
            <w:r>
              <w:t>zeichnet Feldlinien durch das Volumen (vtkStreamTracer, als Röhrchen), eingefärbt vom Feldwert; Start ist eine Seed-Ebene durch die Mitte</w:t>
            </w:r>
          </w:p>
        </w:tc>
      </w:tr>
    </w:tbl>
    <w:p/>
    <w:p>
      <w:r>
        <w:t xml:space="preserve">Die Stromlinien brauchen ein Vektor-Array mit drei Komponenten. Der VTK-Export schreibt es als </w:t>
      </w:r>
      <w:r>
        <w:rPr>
          <w:rFonts w:ascii="Consolas" w:hAnsi="Consolas"/>
          <w:sz w:val="18"/>
        </w:rPr>
        <w:t>field</w:t>
      </w:r>
      <w:r>
        <w:t>, sobald der Dump xyz-Komponenten enthält — genau dann ist der Schalter aktiv. Ein Dump, der nur den Betrag speichert, lässt ihn ausgegraut, und der Tooltip nennt den Grund.</w:t>
      </w:r>
    </w:p>
    <w:p>
      <w:pPr>
        <w:jc w:val="center"/>
      </w:pPr>
      <w:r>
        <w:drawing>
          <wp:inline xmlns:a="http://schemas.openxmlformats.org/drawingml/2006/main" xmlns:pic="http://schemas.openxmlformats.org/drawingml/2006/picture">
            <wp:extent cx="5669280" cy="3401568"/>
            <wp:docPr id="19" name="Picture 19"/>
            <wp:cNvGraphicFramePr>
              <a:graphicFrameLocks noChangeAspect="1"/>
            </wp:cNvGraphicFramePr>
            <a:graphic>
              <a:graphicData uri="http://schemas.openxmlformats.org/drawingml/2006/picture">
                <pic:pic>
                  <pic:nvPicPr>
                    <pic:cNvPr id="0" name="field_viewer_magic_tee.png"/>
                    <pic:cNvPicPr/>
                  </pic:nvPicPr>
                  <pic:blipFill>
                    <a:blip r:embed="rId27"/>
                    <a:stretch>
                      <a:fillRect/>
                    </a:stretch>
                  </pic:blipFill>
                  <pic:spPr>
                    <a:xfrm>
                      <a:off x="0" y="0"/>
                      <a:ext cx="5669280" cy="3401568"/>
                    </a:xfrm>
                    <a:prstGeom prst="rect"/>
                  </pic:spPr>
                </pic:pic>
              </a:graphicData>
            </a:graphic>
          </wp:inline>
        </w:drawing>
      </w:r>
    </w:p>
    <w:p>
      <w:r>
        <w:rPr>
          <w:b/>
        </w:rPr>
        <w:t>3 planes, Contours und Streamlines an einem Magic Tee (WR-90, 10 GHz).</w:t>
      </w:r>
      <w:r>
        <w:t xml:space="preserve"> Netz 0,75 mm, 149 000 Dump-Punkte, logarithmische Farbskala. Das helle Band ist der Knoten, an dem sich die Welle auf die beiden Arme aufteilt.</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