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itle"/>
        <w:rPr>
          <w:rFonts w:ascii="Arial" w:eastAsia="Arial" w:hAnsi="Arial" w:cs="Arial"/>
        </w:rPr>
      </w:pPr>
    </w:p>
    <w:p w14:paraId="11A40D52" w14:textId="77777777" w:rsidR="00C14136" w:rsidRDefault="00C14136">
      <w:pPr>
        <w:pStyle w:val="Title"/>
        <w:rPr>
          <w:rFonts w:ascii="Arial" w:eastAsia="Arial" w:hAnsi="Arial" w:cs="Arial"/>
        </w:rPr>
      </w:pPr>
    </w:p>
    <w:p w14:paraId="5D9FD0A3" w14:textId="77777777" w:rsidR="00C14136" w:rsidRDefault="00C14136">
      <w:pPr>
        <w:pStyle w:val="Title"/>
        <w:rPr>
          <w:rFonts w:ascii="Arial" w:eastAsia="Arial" w:hAnsi="Arial" w:cs="Arial"/>
        </w:rPr>
      </w:pPr>
    </w:p>
    <w:p w14:paraId="5713F2DA" w14:textId="77777777" w:rsidR="00C14136" w:rsidRDefault="00C14136">
      <w:pPr>
        <w:pStyle w:val="Title"/>
        <w:rPr>
          <w:rFonts w:ascii="Arial" w:eastAsia="Arial" w:hAnsi="Arial" w:cs="Arial"/>
        </w:rPr>
      </w:pPr>
    </w:p>
    <w:p w14:paraId="335875C7" w14:textId="77777777" w:rsidR="00C14136" w:rsidRDefault="00C14136">
      <w:pPr>
        <w:pStyle w:val="Title"/>
        <w:rPr>
          <w:rFonts w:ascii="Arial" w:eastAsia="Arial" w:hAnsi="Arial" w:cs="Arial"/>
        </w:rPr>
      </w:pPr>
    </w:p>
    <w:p w14:paraId="63AB324D" w14:textId="77777777" w:rsidR="00C14136" w:rsidRDefault="00C14136">
      <w:pPr>
        <w:pStyle w:val="Title"/>
        <w:rPr>
          <w:rFonts w:ascii="Arial" w:eastAsia="Arial" w:hAnsi="Arial" w:cs="Arial"/>
          <w:sz w:val="96"/>
          <w:szCs w:val="96"/>
        </w:rPr>
      </w:pPr>
    </w:p>
    <w:p w14:paraId="39B59A1A" w14:textId="77777777" w:rsidR="00C14136" w:rsidRDefault="00982C9E">
      <w:pPr>
        <w:pStyle w:val="Title"/>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Heading1"/>
        <w:rPr>
          <w:rFonts w:ascii="Arial" w:eastAsia="Arial" w:hAnsi="Arial" w:cs="Arial"/>
          <w:u w:val="none"/>
        </w:rPr>
      </w:pPr>
    </w:p>
    <w:p w14:paraId="64B71134" w14:textId="77777777" w:rsidR="00C14136" w:rsidRDefault="00982C9E">
      <w:pPr>
        <w:pStyle w:val="Heading1"/>
        <w:rPr>
          <w:rFonts w:ascii="Arial" w:eastAsia="Arial" w:hAnsi="Arial" w:cs="Arial"/>
          <w:u w:val="none"/>
        </w:rPr>
      </w:pPr>
      <w:r>
        <w:br w:type="page"/>
      </w:r>
    </w:p>
    <w:p w14:paraId="5E1BEA28" w14:textId="14DD2AF9" w:rsidR="00C14136" w:rsidRDefault="00982C9E">
      <w:pPr>
        <w:pStyle w:val="Heading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prestación de avales ante bancos, cajas de ahorros y cooperativas de crédito, </w:t>
      </w:r>
      <w:r>
        <w:rPr>
          <w:rFonts w:ascii="Segoe UI Light" w:hAnsi="Segoe UI Light" w:cs="Segoe UI Light"/>
        </w:rPr>
        <w:t>a</w:t>
      </w:r>
      <w:r w:rsidRPr="00C8390E">
        <w:rPr>
          <w:rFonts w:ascii="Segoe UI Light" w:hAnsi="Segoe UI Light" w:cs="Segoe UI Light"/>
        </w:rPr>
        <w:t xml:space="preserve">dministraciones </w:t>
      </w:r>
      <w:r>
        <w:rPr>
          <w:rFonts w:ascii="Segoe UI Light" w:hAnsi="Segoe UI Light" w:cs="Segoe UI Light"/>
        </w:rPr>
        <w:t>p</w:t>
      </w:r>
      <w:r w:rsidRPr="00C8390E">
        <w:rPr>
          <w:rFonts w:ascii="Segoe UI Light" w:hAnsi="Segoe UI Light" w:cs="Segoe UI Light"/>
        </w:rPr>
        <w:t xml:space="preserve">úblicas y clientes y proveedores.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77777777"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contratado para realizar un sistema de gestión para una SGR.  </w:t>
      </w:r>
    </w:p>
    <w:p w14:paraId="133FE6A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5FD011FF" w14:textId="4FD8058E" w:rsidR="00C8390E" w:rsidRDefault="00C8390E" w:rsidP="00C8390E">
      <w:pPr>
        <w:ind w:left="-5"/>
        <w:rPr>
          <w:rFonts w:ascii="Segoe UI Light" w:hAnsi="Segoe UI Light" w:cs="Segoe UI Light"/>
        </w:rPr>
      </w:pPr>
      <w:r>
        <w:rPr>
          <w:rFonts w:ascii="Segoe UI Light" w:hAnsi="Segoe UI Light" w:cs="Segoe UI Light"/>
        </w:rPr>
        <w:t xml:space="preserve">Las </w:t>
      </w:r>
      <w:proofErr w:type="spellStart"/>
      <w:r>
        <w:rPr>
          <w:rFonts w:ascii="Segoe UI Light" w:hAnsi="Segoe UI Light" w:cs="Segoe UI Light"/>
        </w:rPr>
        <w:t>SGRs</w:t>
      </w:r>
      <w:proofErr w:type="spellEnd"/>
      <w:r>
        <w:rPr>
          <w:rFonts w:ascii="Segoe UI Light" w:hAnsi="Segoe UI Light" w:cs="Segoe UI Light"/>
        </w:rPr>
        <w:t xml:space="preserve"> se componen por socios. Los socios pueden ser de dos tipos: Protectores y Partícipes.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sidR="003C6AF8">
        <w:rPr>
          <w:rFonts w:ascii="Segoe UI Light" w:hAnsi="Segoe UI Light" w:cs="Segoe UI Light"/>
        </w:rPr>
        <w:t>Hay documentación que es de presentación obligatoria y otra que es deseable que la empresa presente.</w:t>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35B29C5"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Una vez que la documentación está completa y el postulante es aceptado, la empresa puede suscribir acciones de la SGR y así ser socio de esta. En esta SGR se realizan transferencias por lo que un socio </w:t>
      </w:r>
      <w:r w:rsidRPr="00C8390E">
        <w:rPr>
          <w:rFonts w:ascii="Segoe UI Light" w:hAnsi="Segoe UI Light" w:cs="Segoe UI Light"/>
        </w:rPr>
        <w:lastRenderedPageBreak/>
        <w:t xml:space="preserve">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Para operar por el total de la línea asignada la empresa debe presentar contragarantías para poder operar.</w:t>
      </w:r>
    </w:p>
    <w:p w14:paraId="5930C71C" w14:textId="0C0F36C5"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Los tipos de contragarantías son:</w:t>
      </w:r>
    </w:p>
    <w:p w14:paraId="3EB4CA31" w14:textId="3176F6AC"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Fianza Personal</w:t>
      </w:r>
    </w:p>
    <w:p w14:paraId="3BE1ECA5" w14:textId="1F5A4C8A"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Hipotecas</w:t>
      </w:r>
    </w:p>
    <w:p w14:paraId="66370147" w14:textId="5CB6386F"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Pagaré</w:t>
      </w:r>
    </w:p>
    <w:p w14:paraId="559FDFB4" w14:textId="0BA0CD2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77777777"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lastRenderedPageBreak/>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Heading2"/>
        <w:rPr>
          <w:rFonts w:ascii="Arial" w:eastAsia="Arial" w:hAnsi="Arial" w:cs="Arial"/>
          <w:i w:val="0"/>
        </w:rPr>
      </w:pPr>
      <w:r>
        <w:rPr>
          <w:rFonts w:ascii="Arial" w:eastAsia="Arial" w:hAnsi="Arial" w:cs="Arial"/>
          <w:i w:val="0"/>
        </w:rPr>
        <w:t>Riesgo vivo de un socio vs utilizado de línea</w:t>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1. Importe total de la operación.</w:t>
      </w:r>
    </w:p>
    <w:p w14:paraId="4BB930C7" w14:textId="2DC932DB"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lastRenderedPageBreak/>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Pr="004424D2" w:rsidRDefault="00163AC0" w:rsidP="00163AC0">
      <w:pPr>
        <w:pStyle w:val="Heading2"/>
        <w:rPr>
          <w:rFonts w:ascii="Arial" w:eastAsia="Arial" w:hAnsi="Arial" w:cs="Arial"/>
          <w:i w:val="0"/>
          <w:color w:val="C0504D" w:themeColor="accent2"/>
        </w:rPr>
      </w:pPr>
      <w:r w:rsidRPr="004424D2">
        <w:rPr>
          <w:rFonts w:ascii="Arial" w:eastAsia="Arial" w:hAnsi="Arial" w:cs="Arial"/>
          <w:i w:val="0"/>
          <w:color w:val="C0504D" w:themeColor="accent2"/>
        </w:rPr>
        <w:t xml:space="preserve">Desembolsos y </w:t>
      </w:r>
      <w:proofErr w:type="spellStart"/>
      <w:r w:rsidRPr="004424D2">
        <w:rPr>
          <w:rFonts w:ascii="Arial" w:eastAsia="Arial" w:hAnsi="Arial" w:cs="Arial"/>
          <w:i w:val="0"/>
          <w:color w:val="C0504D" w:themeColor="accent2"/>
        </w:rPr>
        <w:t>recuperos</w:t>
      </w:r>
      <w:proofErr w:type="spellEnd"/>
    </w:p>
    <w:p w14:paraId="12F38311" w14:textId="17871121" w:rsidR="00163AC0" w:rsidRPr="004424D2" w:rsidRDefault="00163AC0" w:rsidP="00901ED4">
      <w:pPr>
        <w:spacing w:line="259" w:lineRule="auto"/>
        <w:rPr>
          <w:color w:val="C0504D" w:themeColor="accent2"/>
        </w:rPr>
      </w:pPr>
    </w:p>
    <w:p w14:paraId="33A8D949" w14:textId="11434E19" w:rsidR="00163AC0" w:rsidRPr="004424D2" w:rsidRDefault="00163AC0" w:rsidP="00901ED4">
      <w:pPr>
        <w:spacing w:line="259" w:lineRule="auto"/>
        <w:rPr>
          <w:color w:val="C0504D" w:themeColor="accent2"/>
        </w:rPr>
      </w:pPr>
      <w:r w:rsidRPr="004424D2">
        <w:rPr>
          <w:rFonts w:ascii="Segoe UI Light" w:hAnsi="Segoe UI Light" w:cs="Segoe UI Light"/>
          <w:color w:val="C0504D" w:themeColor="accent2"/>
        </w:rPr>
        <w:t xml:space="preserve">Cuando un socio no </w:t>
      </w:r>
      <w:r w:rsidR="00FA4BBD" w:rsidRPr="004424D2">
        <w:rPr>
          <w:rFonts w:ascii="Segoe UI Light" w:hAnsi="Segoe UI Light" w:cs="Segoe UI Light"/>
          <w:color w:val="C0504D" w:themeColor="accent2"/>
        </w:rPr>
        <w:t xml:space="preserve">cubre alguna de las operaciones que presentó, la que paga la deuda es la SGR. Luego, el socio adquiere una deuda con la SGR que debe cancelar. </w:t>
      </w:r>
      <w:proofErr w:type="gramStart"/>
      <w:r w:rsidR="00FA4BBD" w:rsidRPr="004424D2">
        <w:rPr>
          <w:rFonts w:ascii="Segoe UI Light" w:hAnsi="Segoe UI Light" w:cs="Segoe UI Light"/>
          <w:color w:val="C0504D" w:themeColor="accent2"/>
        </w:rPr>
        <w:t>La cancelación de los desembolsos hechos por la SGR pueden</w:t>
      </w:r>
      <w:proofErr w:type="gramEnd"/>
      <w:r w:rsidR="00FA4BBD" w:rsidRPr="004424D2">
        <w:rPr>
          <w:rFonts w:ascii="Segoe UI Light" w:hAnsi="Segoe UI Light" w:cs="Segoe UI Light"/>
          <w:color w:val="C0504D" w:themeColor="accent2"/>
        </w:rPr>
        <w:t xml:space="preserve"> se realizan mediante lo que se denominan </w:t>
      </w:r>
      <w:proofErr w:type="spellStart"/>
      <w:r w:rsidR="00FA4BBD" w:rsidRPr="004424D2">
        <w:rPr>
          <w:rFonts w:ascii="Segoe UI Light" w:hAnsi="Segoe UI Light" w:cs="Segoe UI Light"/>
          <w:color w:val="C0504D" w:themeColor="accent2"/>
        </w:rPr>
        <w:t>recuperos</w:t>
      </w:r>
      <w:proofErr w:type="spellEnd"/>
      <w:r w:rsidR="00FA4BBD" w:rsidRPr="004424D2">
        <w:rPr>
          <w:rFonts w:ascii="Segoe UI Light" w:hAnsi="Segoe UI Light" w:cs="Segoe UI Light"/>
          <w:color w:val="C0504D" w:themeColor="accent2"/>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2F19FAA7" w:rsidR="00C14136" w:rsidRPr="00BB25F1" w:rsidRDefault="00982C9E" w:rsidP="00F8475D">
      <w:pPr>
        <w:pStyle w:val="Heading2"/>
        <w:rPr>
          <w:rFonts w:ascii="Arial" w:eastAsia="Arial" w:hAnsi="Arial" w:cs="Arial"/>
          <w:i w:val="0"/>
          <w:color w:val="FF0000"/>
        </w:rPr>
      </w:pPr>
      <w:r>
        <w:rPr>
          <w:rFonts w:ascii="Arial" w:eastAsia="Arial" w:hAnsi="Arial" w:cs="Arial"/>
          <w:i w:val="0"/>
        </w:rPr>
        <w:t>Reglas de negocio</w:t>
      </w:r>
      <w:r w:rsidRPr="00BB25F1">
        <w:rPr>
          <w:rFonts w:ascii="Arial" w:eastAsia="Arial" w:hAnsi="Arial" w:cs="Arial"/>
          <w:i w:val="0"/>
          <w:color w:val="FF0000"/>
        </w:rPr>
        <w:t xml:space="preserve"> </w:t>
      </w:r>
    </w:p>
    <w:p w14:paraId="6B28592F" w14:textId="77777777" w:rsidR="00C14136" w:rsidRDefault="00C14136">
      <w:pPr>
        <w:pStyle w:val="Normal1"/>
        <w:rPr>
          <w:rFonts w:ascii="Arial" w:eastAsia="Arial" w:hAnsi="Arial" w:cs="Arial"/>
        </w:rPr>
      </w:pPr>
    </w:p>
    <w:p w14:paraId="05F24F92" w14:textId="5C11BA03"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r w:rsidR="00F8475D">
        <w:rPr>
          <w:rFonts w:ascii="Segoe UI Light" w:hAnsi="Segoe UI Light" w:cs="Segoe UI Light"/>
        </w:rPr>
        <w:t xml:space="preserve">  </w:t>
      </w:r>
      <w:r w:rsidR="00F8475D" w:rsidRPr="00F8475D">
        <w:rPr>
          <w:rFonts w:ascii="Segoe UI Light" w:hAnsi="Segoe UI Light" w:cs="Segoe UI Light"/>
        </w:rPr>
        <w:sym w:font="Wingdings" w:char="F0E0"/>
      </w:r>
      <w:r w:rsidR="00F8475D">
        <w:rPr>
          <w:rFonts w:ascii="Segoe UI Light" w:hAnsi="Segoe UI Light" w:cs="Segoe UI Light"/>
        </w:rPr>
        <w:t xml:space="preserve"> Ignacio</w:t>
      </w:r>
    </w:p>
    <w:p w14:paraId="3BE3524E" w14:textId="3828B52B"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r w:rsidR="00F8475D">
        <w:rPr>
          <w:rFonts w:ascii="Segoe UI Light" w:hAnsi="Segoe UI Light" w:cs="Segoe UI Light"/>
        </w:rPr>
        <w:t xml:space="preserve"> </w:t>
      </w:r>
      <w:r w:rsidR="00F8475D" w:rsidRPr="00F8475D">
        <w:rPr>
          <w:rFonts w:ascii="Segoe UI Light" w:hAnsi="Segoe UI Light" w:cs="Segoe UI Light"/>
        </w:rPr>
        <w:sym w:font="Wingdings" w:char="F0E0"/>
      </w:r>
      <w:r w:rsidR="00F8475D">
        <w:rPr>
          <w:rFonts w:ascii="Segoe UI Light" w:hAnsi="Segoe UI Light" w:cs="Segoe UI Light"/>
        </w:rPr>
        <w:t xml:space="preserve"> Ivo</w:t>
      </w:r>
    </w:p>
    <w:p w14:paraId="1AD95201" w14:textId="47B6EB41" w:rsidR="00C14136"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r w:rsidR="00F8475D">
        <w:rPr>
          <w:rFonts w:ascii="Segoe UI Light" w:hAnsi="Segoe UI Light" w:cs="Segoe UI Light"/>
        </w:rPr>
        <w:t xml:space="preserve"> </w:t>
      </w:r>
      <w:r w:rsidR="00F8475D" w:rsidRPr="00F8475D">
        <w:rPr>
          <w:rFonts w:ascii="Segoe UI Light" w:hAnsi="Segoe UI Light" w:cs="Segoe UI Light"/>
        </w:rPr>
        <w:sym w:font="Wingdings" w:char="F0E0"/>
      </w:r>
      <w:r w:rsidR="00F8475D">
        <w:rPr>
          <w:rFonts w:ascii="Segoe UI Light" w:hAnsi="Segoe UI Light" w:cs="Segoe UI Light"/>
        </w:rPr>
        <w:t xml:space="preserve"> Franco</w:t>
      </w:r>
    </w:p>
    <w:p w14:paraId="2E4B930E" w14:textId="7DDCE7EB" w:rsidR="00163AC0" w:rsidRPr="00901ED4" w:rsidRDefault="00163AC0" w:rsidP="00163AC0">
      <w:pPr>
        <w:pStyle w:val="ListParagraph"/>
        <w:numPr>
          <w:ilvl w:val="0"/>
          <w:numId w:val="22"/>
        </w:numPr>
        <w:tabs>
          <w:tab w:val="left" w:pos="284"/>
        </w:tabs>
        <w:rPr>
          <w:rFonts w:ascii="Segoe UI Light" w:hAnsi="Segoe UI Light" w:cs="Segoe UI Light"/>
        </w:rPr>
      </w:pPr>
      <w:r>
        <w:rPr>
          <w:rFonts w:ascii="Segoe UI Light" w:hAnsi="Segoe UI Light" w:cs="Segoe UI Light"/>
        </w:rPr>
        <w:t>Ningún socio puede operar con desembolsos no cubiertos</w:t>
      </w:r>
      <w:r w:rsidR="00F8475D">
        <w:rPr>
          <w:rFonts w:ascii="Segoe UI Light" w:hAnsi="Segoe UI Light" w:cs="Segoe UI Light"/>
        </w:rPr>
        <w:t xml:space="preserve"> </w:t>
      </w:r>
      <w:r w:rsidR="00F8475D" w:rsidRPr="00F8475D">
        <w:rPr>
          <w:rFonts w:ascii="Segoe UI Light" w:hAnsi="Segoe UI Light" w:cs="Segoe UI Light"/>
        </w:rPr>
        <w:sym w:font="Wingdings" w:char="F0E0"/>
      </w:r>
      <w:r w:rsidR="00F8475D">
        <w:rPr>
          <w:rFonts w:ascii="Segoe UI Light" w:hAnsi="Segoe UI Light" w:cs="Segoe UI Light"/>
        </w:rPr>
        <w:t xml:space="preserve"> Matías</w:t>
      </w:r>
    </w:p>
    <w:p w14:paraId="26F0C237" w14:textId="046DF979" w:rsidR="00BF4DEF"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ListParagraph"/>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Heading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ListParagraph"/>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de cheques presentadas en el Mercado Argentino de Valores </w:t>
      </w:r>
    </w:p>
    <w:p w14:paraId="6C421762" w14:textId="35E48429"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Pr="004A14D3" w:rsidRDefault="007D69DD" w:rsidP="00C464F3">
      <w:pPr>
        <w:pStyle w:val="ListParagraph"/>
        <w:numPr>
          <w:ilvl w:val="0"/>
          <w:numId w:val="22"/>
        </w:numPr>
        <w:tabs>
          <w:tab w:val="left" w:pos="284"/>
        </w:tabs>
        <w:rPr>
          <w:rFonts w:ascii="Segoe UI Light" w:hAnsi="Segoe UI Light" w:cs="Segoe UI Light"/>
          <w:color w:val="FF0000"/>
        </w:rPr>
      </w:pPr>
      <w:r w:rsidRPr="004A14D3">
        <w:rPr>
          <w:rFonts w:ascii="Segoe UI Light" w:hAnsi="Segoe UI Light" w:cs="Segoe UI Light"/>
          <w:color w:val="FF0000"/>
        </w:rPr>
        <w:t>Consulta de saldo mora. Mora de un socio por día.</w:t>
      </w:r>
    </w:p>
    <w:p w14:paraId="1919545F" w14:textId="7211862B" w:rsidR="00C464F3" w:rsidRP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sidRPr="00E07693">
        <w:rPr>
          <w:rFonts w:ascii="Segoe UI Light" w:hAnsi="Segoe UI Light" w:cs="Segoe UI Light"/>
          <w:color w:val="FF0000"/>
        </w:rPr>
        <w:t>Contragarantias</w:t>
      </w:r>
      <w:proofErr w:type="spellEnd"/>
      <w:r w:rsidR="007D69DD" w:rsidRPr="00E07693">
        <w:rPr>
          <w:rFonts w:ascii="Segoe UI Light" w:hAnsi="Segoe UI Light" w:cs="Segoe UI Light"/>
          <w:color w:val="FF0000"/>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Heading2"/>
        <w:rPr>
          <w:rFonts w:ascii="Arial" w:eastAsia="Arial" w:hAnsi="Arial" w:cs="Arial"/>
          <w:i w:val="0"/>
        </w:rPr>
      </w:pPr>
      <w:r>
        <w:rPr>
          <w:rFonts w:ascii="Arial" w:eastAsia="Arial" w:hAnsi="Arial" w:cs="Arial"/>
          <w:i w:val="0"/>
        </w:rPr>
        <w:t>Módulos a entregar</w:t>
      </w:r>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2712B0" w:rsidRDefault="005658C2" w:rsidP="005658C2">
      <w:pPr>
        <w:pStyle w:val="Normal1"/>
        <w:numPr>
          <w:ilvl w:val="0"/>
          <w:numId w:val="24"/>
        </w:numPr>
        <w:rPr>
          <w:color w:val="FF0000"/>
        </w:rPr>
      </w:pPr>
      <w:r w:rsidRPr="002712B0">
        <w:rPr>
          <w:rFonts w:ascii="Segoe UI Light" w:hAnsi="Segoe UI Light" w:cs="Segoe UI Light"/>
          <w:color w:val="FF0000"/>
        </w:rPr>
        <w:t>Líneas y tipos de operaciones asociadas</w:t>
      </w:r>
    </w:p>
    <w:p w14:paraId="7F829DF1" w14:textId="0169A2B0" w:rsidR="005658C2" w:rsidRPr="002712B0" w:rsidRDefault="005658C2" w:rsidP="005658C2">
      <w:pPr>
        <w:pStyle w:val="Normal1"/>
        <w:numPr>
          <w:ilvl w:val="1"/>
          <w:numId w:val="24"/>
        </w:numPr>
        <w:rPr>
          <w:color w:val="FF0000"/>
        </w:rPr>
      </w:pPr>
      <w:r w:rsidRPr="002712B0">
        <w:rPr>
          <w:rFonts w:ascii="Segoe UI Light" w:hAnsi="Segoe UI Light" w:cs="Segoe UI Light"/>
          <w:color w:val="FF0000"/>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lastRenderedPageBreak/>
        <w:t>Préstamos</w:t>
      </w:r>
    </w:p>
    <w:p w14:paraId="3496CDB7" w14:textId="5E626C55" w:rsidR="007D69DD" w:rsidRPr="002712B0" w:rsidRDefault="007D69DD" w:rsidP="007D69DD">
      <w:pPr>
        <w:pStyle w:val="Normal1"/>
        <w:numPr>
          <w:ilvl w:val="0"/>
          <w:numId w:val="24"/>
        </w:numPr>
        <w:rPr>
          <w:color w:val="FF0000"/>
        </w:rPr>
      </w:pPr>
      <w:r w:rsidRPr="002712B0">
        <w:rPr>
          <w:rFonts w:ascii="Segoe UI Light" w:hAnsi="Segoe UI Light" w:cs="Segoe UI Light"/>
          <w:color w:val="FF0000"/>
        </w:rPr>
        <w:t xml:space="preserve">Desembolsos y </w:t>
      </w:r>
      <w:proofErr w:type="spellStart"/>
      <w:r w:rsidRPr="002712B0">
        <w:rPr>
          <w:rFonts w:ascii="Segoe UI Light" w:hAnsi="Segoe UI Light" w:cs="Segoe UI Light"/>
          <w:color w:val="FF0000"/>
        </w:rPr>
        <w:t>recuperos</w:t>
      </w:r>
      <w:proofErr w:type="spellEnd"/>
    </w:p>
    <w:p w14:paraId="00E2DD36" w14:textId="4DB5FC77" w:rsidR="007D69DD" w:rsidRPr="002712B0" w:rsidRDefault="007D69DD" w:rsidP="007D69DD">
      <w:pPr>
        <w:pStyle w:val="Normal1"/>
        <w:numPr>
          <w:ilvl w:val="1"/>
          <w:numId w:val="24"/>
        </w:numPr>
        <w:rPr>
          <w:color w:val="FF0000"/>
        </w:rPr>
      </w:pPr>
      <w:r w:rsidRPr="002712B0">
        <w:rPr>
          <w:rFonts w:ascii="Segoe UI Light" w:hAnsi="Segoe UI Light" w:cs="Segoe UI Light"/>
          <w:color w:val="FF0000"/>
        </w:rPr>
        <w:t>Administración y consultas</w:t>
      </w:r>
    </w:p>
    <w:p w14:paraId="59A33287" w14:textId="7AAF8291" w:rsidR="007D69DD" w:rsidRPr="007D69DD" w:rsidRDefault="007D69DD" w:rsidP="007D69DD">
      <w:pPr>
        <w:pStyle w:val="Normal1"/>
        <w:numPr>
          <w:ilvl w:val="0"/>
          <w:numId w:val="24"/>
        </w:numPr>
      </w:pPr>
      <w:r>
        <w:rPr>
          <w:rFonts w:ascii="Segoe UI Light" w:hAnsi="Segoe UI Light" w:cs="Segoe UI Light"/>
        </w:rPr>
        <w:t>Consultas generales</w:t>
      </w:r>
    </w:p>
    <w:p w14:paraId="09B9AD8B" w14:textId="30C561C5" w:rsidR="007D69DD" w:rsidRDefault="007D69DD" w:rsidP="007D69DD">
      <w:pPr>
        <w:pStyle w:val="Normal1"/>
      </w:pPr>
    </w:p>
    <w:p w14:paraId="2BE3E853" w14:textId="438A77A8" w:rsidR="007D69DD" w:rsidRDefault="007D69DD" w:rsidP="007D69DD">
      <w:pPr>
        <w:pStyle w:val="Heading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Heading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Heading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Heading2"/>
        <w:rPr>
          <w:rFonts w:ascii="Arial" w:eastAsia="Arial" w:hAnsi="Arial" w:cs="Arial"/>
          <w:i w:val="0"/>
        </w:rPr>
      </w:pPr>
    </w:p>
    <w:p w14:paraId="1E561DE2" w14:textId="77777777" w:rsidR="00C14136" w:rsidRDefault="00982C9E">
      <w:pPr>
        <w:pStyle w:val="Heading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Heading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0" w:name="_gjdgxs" w:colFirst="0" w:colLast="0"/>
      <w:bookmarkEnd w:id="0"/>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7"/>
      <w:headerReference w:type="default" r:id="rId8"/>
      <w:footerReference w:type="even" r:id="rId9"/>
      <w:footerReference w:type="default" r:id="rId10"/>
      <w:headerReference w:type="first" r:id="rId11"/>
      <w:pgSz w:w="11907" w:h="16840"/>
      <w:pgMar w:top="851" w:right="1321" w:bottom="1418" w:left="1276" w:header="992"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88511" w14:textId="77777777" w:rsidR="00AF785D" w:rsidRDefault="00AF785D" w:rsidP="00C14136">
      <w:r>
        <w:separator/>
      </w:r>
    </w:p>
  </w:endnote>
  <w:endnote w:type="continuationSeparator" w:id="0">
    <w:p w14:paraId="2AB05F67" w14:textId="77777777" w:rsidR="00AF785D" w:rsidRDefault="00AF785D"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42F13" w14:textId="77777777" w:rsidR="00AF785D" w:rsidRDefault="00AF785D" w:rsidP="00C14136">
      <w:r>
        <w:separator/>
      </w:r>
    </w:p>
  </w:footnote>
  <w:footnote w:type="continuationSeparator" w:id="0">
    <w:p w14:paraId="3A46DDC4" w14:textId="77777777" w:rsidR="00AF785D" w:rsidRDefault="00AF785D"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141A16"/>
    <w:rsid w:val="00142D6D"/>
    <w:rsid w:val="00163AC0"/>
    <w:rsid w:val="001B2E6B"/>
    <w:rsid w:val="001D1E6C"/>
    <w:rsid w:val="00247893"/>
    <w:rsid w:val="00251738"/>
    <w:rsid w:val="002712B0"/>
    <w:rsid w:val="00293A26"/>
    <w:rsid w:val="002E3788"/>
    <w:rsid w:val="003C6AF8"/>
    <w:rsid w:val="003F5A48"/>
    <w:rsid w:val="00424AFB"/>
    <w:rsid w:val="004424D2"/>
    <w:rsid w:val="0047610A"/>
    <w:rsid w:val="004A14D3"/>
    <w:rsid w:val="004A43CB"/>
    <w:rsid w:val="004B5180"/>
    <w:rsid w:val="004B5EFC"/>
    <w:rsid w:val="004F4206"/>
    <w:rsid w:val="005658C2"/>
    <w:rsid w:val="00694395"/>
    <w:rsid w:val="00716922"/>
    <w:rsid w:val="00755595"/>
    <w:rsid w:val="00793F1E"/>
    <w:rsid w:val="007C689D"/>
    <w:rsid w:val="007D69DD"/>
    <w:rsid w:val="008D4158"/>
    <w:rsid w:val="009015A8"/>
    <w:rsid w:val="00901ED4"/>
    <w:rsid w:val="00980A63"/>
    <w:rsid w:val="00982C9E"/>
    <w:rsid w:val="00AF785D"/>
    <w:rsid w:val="00BB25F1"/>
    <w:rsid w:val="00BB44C9"/>
    <w:rsid w:val="00BF4DEF"/>
    <w:rsid w:val="00C14136"/>
    <w:rsid w:val="00C464F3"/>
    <w:rsid w:val="00C8390E"/>
    <w:rsid w:val="00CA3920"/>
    <w:rsid w:val="00E07693"/>
    <w:rsid w:val="00E1275B"/>
    <w:rsid w:val="00E522F1"/>
    <w:rsid w:val="00E65AE0"/>
    <w:rsid w:val="00E842D5"/>
    <w:rsid w:val="00F8475D"/>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Heading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Heading3">
    <w:name w:val="heading 3"/>
    <w:basedOn w:val="Normal1"/>
    <w:next w:val="Normal1"/>
    <w:rsid w:val="00C14136"/>
    <w:pPr>
      <w:spacing w:before="100" w:after="100"/>
      <w:outlineLvl w:val="2"/>
    </w:pPr>
    <w:rPr>
      <w:b/>
      <w:sz w:val="27"/>
      <w:szCs w:val="27"/>
    </w:rPr>
  </w:style>
  <w:style w:type="paragraph" w:styleId="Heading4">
    <w:name w:val="heading 4"/>
    <w:basedOn w:val="Normal1"/>
    <w:next w:val="Normal1"/>
    <w:rsid w:val="00C14136"/>
    <w:pPr>
      <w:keepNext/>
      <w:ind w:left="851"/>
      <w:jc w:val="center"/>
      <w:outlineLvl w:val="3"/>
    </w:pPr>
    <w:rPr>
      <w:i/>
      <w:sz w:val="18"/>
      <w:szCs w:val="18"/>
    </w:rPr>
  </w:style>
  <w:style w:type="paragraph" w:styleId="Heading5">
    <w:name w:val="heading 5"/>
    <w:basedOn w:val="Normal1"/>
    <w:next w:val="Normal1"/>
    <w:rsid w:val="00C14136"/>
    <w:pPr>
      <w:spacing w:before="100" w:after="100"/>
      <w:outlineLvl w:val="4"/>
    </w:pPr>
    <w:rPr>
      <w:b/>
    </w:rPr>
  </w:style>
  <w:style w:type="paragraph" w:styleId="Heading6">
    <w:name w:val="heading 6"/>
    <w:basedOn w:val="Normal1"/>
    <w:next w:val="Normal1"/>
    <w:rsid w:val="00C14136"/>
    <w:pPr>
      <w:spacing w:before="100" w:after="100"/>
      <w:outlineLvl w:val="5"/>
    </w:pPr>
    <w:rPr>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4136"/>
  </w:style>
  <w:style w:type="table" w:customStyle="1" w:styleId="TableNormal1">
    <w:name w:val="Table Normal1"/>
    <w:rsid w:val="00C14136"/>
    <w:tblPr>
      <w:tblCellMar>
        <w:top w:w="0" w:type="dxa"/>
        <w:left w:w="0" w:type="dxa"/>
        <w:bottom w:w="0" w:type="dxa"/>
        <w:right w:w="0" w:type="dxa"/>
      </w:tblCellMar>
    </w:tblPr>
  </w:style>
  <w:style w:type="paragraph" w:styleId="Title">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itle">
    <w:name w:val="Subtitle"/>
    <w:basedOn w:val="Normal1"/>
    <w:next w:val="Normal1"/>
    <w:rsid w:val="00C14136"/>
    <w:rPr>
      <w:rFonts w:ascii="Arial" w:eastAsia="Arial" w:hAnsi="Arial" w:cs="Arial"/>
      <w:u w:val="single"/>
    </w:rPr>
  </w:style>
  <w:style w:type="paragraph" w:styleId="Footer">
    <w:name w:val="footer"/>
    <w:basedOn w:val="Normal"/>
    <w:link w:val="FooterChar"/>
    <w:uiPriority w:val="99"/>
    <w:unhideWhenUsed/>
    <w:rsid w:val="00F92ACB"/>
    <w:pPr>
      <w:tabs>
        <w:tab w:val="center" w:pos="4252"/>
        <w:tab w:val="right" w:pos="8504"/>
      </w:tabs>
    </w:pPr>
  </w:style>
  <w:style w:type="character" w:customStyle="1" w:styleId="FooterChar">
    <w:name w:val="Footer Char"/>
    <w:basedOn w:val="DefaultParagraphFont"/>
    <w:link w:val="Footer"/>
    <w:uiPriority w:val="99"/>
    <w:rsid w:val="00F92ACB"/>
  </w:style>
  <w:style w:type="paragraph" w:styleId="ListParagraph">
    <w:name w:val="List Paragraph"/>
    <w:basedOn w:val="Normal"/>
    <w:uiPriority w:val="34"/>
    <w:qFormat/>
    <w:rsid w:val="001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1522</Words>
  <Characters>8374</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Ivo Strficek</cp:lastModifiedBy>
  <cp:revision>18</cp:revision>
  <dcterms:created xsi:type="dcterms:W3CDTF">2019-09-02T16:15:00Z</dcterms:created>
  <dcterms:modified xsi:type="dcterms:W3CDTF">2020-09-22T22:27:00Z</dcterms:modified>
</cp:coreProperties>
</file>