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a1a2e"/>
          <w:sz w:val="48"/>
          <w:szCs w:val="48"/>
        </w:rPr>
        <w:t xml:space="preserve">THE H-1B / H-2 VISA INCENTIVE MACHINE</w:t>
      </w:r>
    </w:p>
    <w:p>
      <w:pPr>
        <w:spacing w:after="160" w:before="0"/>
        <w:jc w:val="center"/>
      </w:pPr>
      <w:r>
        <w:rPr>
          <w:i/>
          <w:iCs/>
          <w:color w:val="666688"/>
          <w:sz w:val="24"/>
          <w:szCs w:val="24"/>
        </w:rPr>
        <w:t xml:space="preserve">Project Outline — Post v8 / Updated with Phase 3–5 Research</w:t>
      </w:r>
    </w:p>
    <w:p>
      <w:pPr>
        <w:spacing w:after="800" w:before="0"/>
        <w:jc w:val="center"/>
      </w:pPr>
      <w:r>
        <w:rPr>
          <w:color w:val="888888"/>
          <w:sz w:val="22"/>
          <w:szCs w:val="22"/>
        </w:rPr>
        <w:t xml:space="preserve">April 2026</w:t>
      </w:r>
    </w:p>
    <w:p>
      <w:pPr>
        <w:spacing w:after="120" w:before="0"/>
        <w:jc w:val="center"/>
      </w:pPr>
      <w:r>
        <w:rPr>
          <w:b/>
          <w:bCs/>
          <w:i/>
          <w:iCs/>
          <w:color w:val="8B0000"/>
          <w:sz w:val="26"/>
          <w:szCs w:val="26"/>
        </w:rPr>
        <w:t xml:space="preserve">One machine. Two visa programs. The same people get rich.</w:t>
      </w:r>
    </w:p>
    <w:p>
      <w:pPr>
        <w:pBdr>
          <w:bottom w:val="single" w:color="ccccdd" w:sz="4" w:space="1"/>
        </w:pBdr>
        <w:spacing w:after="160" w:before="160"/>
      </w:pPr>
    </w:p>
    <w:p>
      <w:pPr>
        <w:spacing w:after="80" w:before="60"/>
      </w:pPr>
      <w:r>
        <w:rPr>
          <w:color w:val="333333"/>
          <w:sz w:val="22"/>
          <w:szCs w:val="22"/>
        </w:rPr>
        <w:t xml:space="preserve">This document is the single source of truth for the H-1B / H-2 Visa Incentive Machine interactive tool. It incorporates all verified research through April 2026 from primary sources including USCIS, DOL OFLC, EPI, GAO, NBER, World Bank, ProPublica, and DOJ. All figures are phase-slotted and source-tagged for direct use in HTML builds.</w:t>
      </w:r>
    </w:p>
    <w:p>
      <w:r>
        <w:br w:type="page"/>
      </w:r>
    </w:p>
    <w:p>
      <w:pPr>
        <w:pStyle w:val="Heading1"/>
        <w:spacing w:after="160" w:before="400"/>
      </w:pPr>
      <w:r>
        <w:rPr>
          <w:b/>
          <w:bCs/>
          <w:color w:val="1a1a2e"/>
          <w:sz w:val="32"/>
          <w:szCs w:val="32"/>
        </w:rPr>
        <w:t xml:space="preserve">TITLE &amp; FRAMING</w:t>
      </w:r>
    </w:p>
    <w:p>
      <w:pPr>
        <w:pStyle w:val="Heading2"/>
        <w:spacing w:after="120" w:before="280"/>
      </w:pPr>
      <w:r>
        <w:rPr>
          <w:b/>
          <w:bCs/>
          <w:color w:val="2c3e6b"/>
          <w:sz w:val="26"/>
          <w:szCs w:val="26"/>
        </w:rPr>
        <w:t xml:space="preserve">Title</w:t>
      </w:r>
    </w:p>
    <w:p>
      <w:pPr>
        <w:spacing w:after="80" w:before="60"/>
      </w:pPr>
      <w:r>
        <w:rPr>
          <w:sz w:val="22"/>
          <w:szCs w:val="22"/>
        </w:rPr>
        <w:t xml:space="preserve">The H-1B / H-2 Visa Incentive Machine</w:t>
      </w:r>
    </w:p>
    <w:p>
      <w:pPr>
        <w:pStyle w:val="Heading2"/>
        <w:spacing w:after="120" w:before="280"/>
      </w:pPr>
      <w:r>
        <w:rPr>
          <w:b/>
          <w:bCs/>
          <w:color w:val="2c3e6b"/>
          <w:sz w:val="26"/>
          <w:szCs w:val="26"/>
        </w:rPr>
        <w:t xml:space="preserve">Tagline</w:t>
      </w:r>
    </w:p>
    <w:p>
      <w:pPr>
        <w:spacing w:after="80" w:before="60"/>
      </w:pPr>
      <w:r>
        <w:rPr>
          <w:sz w:val="22"/>
          <w:szCs w:val="22"/>
        </w:rPr>
        <w:t xml:space="preserve">How asset managers profit by keeping Americans distracted from the reality of visa programs.</w:t>
      </w:r>
    </w:p>
    <w:p>
      <w:pPr>
        <w:pStyle w:val="Heading2"/>
        <w:spacing w:after="120" w:before="280"/>
      </w:pPr>
      <w:r>
        <w:rPr>
          <w:b/>
          <w:bCs/>
          <w:color w:val="2c3e6b"/>
          <w:sz w:val="26"/>
          <w:szCs w:val="26"/>
        </w:rPr>
        <w:t xml:space="preserve">Core Thesis</w:t>
      </w:r>
    </w:p>
    <w:p>
      <w:pPr>
        <w:spacing w:after="80" w:before="60"/>
      </w:pPr>
      <w:r>
        <w:rPr>
          <w:sz w:val="22"/>
          <w:szCs w:val="22"/>
        </w:rPr>
        <w:t xml:space="preserve">Asset managers are exploiting both visa workers and ordinary Americans through the same mechanism. The public debate is framed as a left moral issue or a right economic issue. That framing is deliberate. It is the same system. It is the same beneficiary. The H-1B and H-2 programs are discussed as separate issues by design. This tool follows the money to show they are nodes in a single extraction loop — one that American retirement accounts are unknowingly funding.</w:t>
      </w:r>
    </w:p>
    <w:p>
      <w:pPr>
        <w:pStyle w:val="Heading2"/>
        <w:spacing w:after="120" w:before="280"/>
      </w:pPr>
      <w:r>
        <w:rPr>
          <w:b/>
          <w:bCs/>
          <w:color w:val="2c3e6b"/>
          <w:sz w:val="26"/>
          <w:szCs w:val="26"/>
        </w:rPr>
        <w:t xml:space="preserve">Chain Subheading</w:t>
      </w:r>
    </w:p>
    <w:p>
      <w:pPr>
        <w:spacing w:after="80" w:before="60"/>
      </w:pPr>
      <w:r>
        <w:rPr>
          <w:sz w:val="22"/>
          <w:szCs w:val="22"/>
        </w:rPr>
        <w:t xml:space="preserve">One machine. Two visa programs. The same people get rich.</w:t>
      </w:r>
    </w:p>
    <w:p>
      <w:pPr>
        <w:pBdr>
          <w:bottom w:val="single" w:color="ccccdd" w:sz="4" w:space="1"/>
        </w:pBdr>
        <w:spacing w:after="160" w:before="160"/>
      </w:pPr>
    </w:p>
    <w:p>
      <w:pPr>
        <w:pStyle w:val="Heading1"/>
        <w:spacing w:after="160" w:before="400"/>
      </w:pPr>
      <w:r>
        <w:rPr>
          <w:b/>
          <w:bCs/>
          <w:color w:val="1a1a2e"/>
          <w:sz w:val="32"/>
          <w:szCs w:val="32"/>
        </w:rPr>
        <w:t xml:space="preserve">ARCHITECTURE</w:t>
      </w:r>
    </w:p>
    <w:p>
      <w:pPr>
        <w:spacing w:after="80" w:before="60"/>
      </w:pPr>
      <w:r>
        <w:rPr>
          <w:sz w:val="22"/>
          <w:szCs w:val="22"/>
        </w:rPr>
        <w:t xml:space="preserve">Single-file HTML. No external dependencies except Google Fonts. All claims linked to primary sources. Multi-screen SPA routing — home page scrolls continuously through hero and chain diagram. All other sections are separate screens accessed by clicking chain nodes or nav. Detail panels open as accordion expansions (Asset Managers) or as separate detail screens (all other sections).</w:t>
      </w:r>
    </w:p>
    <w:p>
      <w:pPr>
        <w:pStyle w:val="Heading2"/>
        <w:spacing w:after="120" w:before="280"/>
      </w:pPr>
      <w:r>
        <w:rPr>
          <w:b/>
          <w:bCs/>
          <w:color w:val="2c3e6b"/>
          <w:sz w:val="26"/>
          <w:szCs w:val="26"/>
        </w:rPr>
        <w:t xml:space="preserve">Navigation</w:t>
      </w:r>
    </w:p>
    <w:p>
      <w:pPr>
        <w:spacing w:after="80" w:before="60"/>
      </w:pPr>
      <w:r>
        <w:rPr>
          <w:sz w:val="22"/>
          <w:szCs w:val="22"/>
        </w:rPr>
        <w:t xml:space="preserve">Home button only in nav bar. “Created by” credit in home page footer.</w:t>
      </w:r>
    </w:p>
    <w:p>
      <w:r>
        <w:br w:type="page"/>
      </w:r>
    </w:p>
    <w:p>
      <w:pPr>
        <w:pStyle w:val="Heading1"/>
        <w:spacing w:after="160" w:before="400"/>
      </w:pPr>
      <w:r>
        <w:rPr>
          <w:b/>
          <w:bCs/>
          <w:color w:val="1a1a2e"/>
          <w:sz w:val="32"/>
          <w:szCs w:val="32"/>
        </w:rPr>
        <w:t xml:space="preserve">SECTION 01 — HOME PAGE</w:t>
      </w:r>
    </w:p>
    <w:p>
      <w:pPr>
        <w:pStyle w:val="Heading2"/>
        <w:spacing w:after="120" w:before="280"/>
      </w:pPr>
      <w:r>
        <w:rPr>
          <w:b/>
          <w:bCs/>
          <w:color w:val="2c3e6b"/>
          <w:sz w:val="26"/>
          <w:szCs w:val="26"/>
        </w:rPr>
        <w:t xml:space="preserve">Hero</w:t>
      </w:r>
    </w:p>
    <w:p>
      <w:pPr>
        <w:spacing w:after="40" w:before="40"/>
        <w:ind w:left="360" w:hanging="200"/>
      </w:pPr>
      <w:r>
        <w:rPr>
          <w:sz w:val="21"/>
          <w:szCs w:val="21"/>
        </w:rPr>
        <w:t xml:space="preserve">•  Title: The H-1B / H-2 Visa Incentive Machine</w:t>
      </w:r>
    </w:p>
    <w:p>
      <w:pPr>
        <w:spacing w:after="40" w:before="40"/>
        <w:ind w:left="360" w:hanging="200"/>
      </w:pPr>
      <w:r>
        <w:rPr>
          <w:sz w:val="21"/>
          <w:szCs w:val="21"/>
        </w:rPr>
        <w:t xml:space="preserve">•  Tagline visible, white text</w:t>
      </w:r>
    </w:p>
    <w:p>
      <w:pPr>
        <w:spacing w:after="40" w:before="40"/>
        <w:ind w:left="360" w:hanging="200"/>
      </w:pPr>
      <w:r>
        <w:rPr>
          <w:sz w:val="21"/>
          <w:szCs w:val="21"/>
        </w:rPr>
        <w:t xml:space="preserve">•  Core Thesis block — prominent label, full thesis text</w:t>
      </w:r>
    </w:p>
    <w:p>
      <w:pPr>
        <w:spacing w:after="40" w:before="40"/>
        <w:ind w:left="360" w:hanging="200"/>
      </w:pPr>
      <w:r>
        <w:rPr>
          <w:sz w:val="21"/>
          <w:szCs w:val="21"/>
        </w:rPr>
        <w:t xml:space="preserve">•  No CTA buttons — chain is immediately below on scroll</w:t>
      </w:r>
    </w:p>
    <w:p>
      <w:pPr>
        <w:spacing w:after="40" w:before="40"/>
        <w:ind w:left="360" w:hanging="200"/>
      </w:pPr>
      <w:r>
        <w:rPr>
          <w:sz w:val="21"/>
          <w:szCs w:val="21"/>
        </w:rPr>
        <w:t xml:space="preserve">•  Scroll indicator pointing down to chain</w:t>
      </w:r>
    </w:p>
    <w:p>
      <w:pPr>
        <w:pStyle w:val="Heading2"/>
        <w:spacing w:after="120" w:before="280"/>
      </w:pPr>
      <w:r>
        <w:rPr>
          <w:b/>
          <w:bCs/>
          <w:color w:val="2c3e6b"/>
          <w:sz w:val="26"/>
          <w:szCs w:val="26"/>
        </w:rPr>
        <w:t xml:space="preserve">The Chain</w:t>
      </w:r>
    </w:p>
    <w:p>
      <w:pPr>
        <w:spacing w:after="80" w:before="60"/>
      </w:pPr>
      <w:r>
        <w:rPr>
          <w:sz w:val="22"/>
          <w:szCs w:val="22"/>
        </w:rPr>
        <w:t xml:space="preserve">Branching diagram, top to bottom. Each node clickable → opens corresponding section screen.</w:t>
      </w:r>
    </w:p>
    <w:p>
      <w:pPr>
        <w:spacing w:after="40" w:before="40"/>
        <w:ind w:left="360" w:hanging="200"/>
      </w:pPr>
      <w:r>
        <w:rPr>
          <w:sz w:val="21"/>
          <w:szCs w:val="21"/>
        </w:rPr>
        <w:t xml:space="preserve">•  Top node: Institutional Asset Managers (Vanguard · BlackRock · State Street — RED font)</w:t>
      </w:r>
    </w:p>
    <w:p>
      <w:pPr>
        <w:spacing w:after="40" w:before="40"/>
        <w:ind w:left="360" w:hanging="200"/>
      </w:pPr>
      <w:r>
        <w:rPr>
          <w:sz w:val="21"/>
          <w:szCs w:val="21"/>
        </w:rPr>
        <w:t xml:space="preserve">•  Left branch: H-1B Visa → Top H-1B Sponsors → H-1B Dichotomy of Truth</w:t>
      </w:r>
    </w:p>
    <w:p>
      <w:pPr>
        <w:spacing w:after="40" w:before="40"/>
        <w:ind w:left="360" w:hanging="200"/>
      </w:pPr>
      <w:r>
        <w:rPr>
          <w:sz w:val="21"/>
          <w:szCs w:val="21"/>
        </w:rPr>
        <w:t xml:space="preserve">•  Right branch: H-2A/H-2B Visa → Top H-2 Sponsors → H-2 Dichotomy of Truth</w:t>
      </w:r>
    </w:p>
    <w:p>
      <w:pPr>
        <w:spacing w:after="40" w:before="40"/>
        <w:ind w:left="360" w:hanging="200"/>
      </w:pPr>
      <w:r>
        <w:rPr>
          <w:sz w:val="21"/>
          <w:szCs w:val="21"/>
        </w:rPr>
        <w:t xml:space="preserve">•  The two branches do NOT converge at the bottom</w:t>
      </w:r>
    </w:p>
    <w:p>
      <w:pPr>
        <w:pStyle w:val="Heading3"/>
        <w:spacing w:after="80" w:before="200"/>
      </w:pPr>
      <w:r>
        <w:rPr>
          <w:b/>
          <w:bCs/>
          <w:color w:val="444466"/>
          <w:sz w:val="22"/>
          <w:szCs w:val="22"/>
        </w:rPr>
        <w:t xml:space="preserve">Updated Chain Node Labels (Dichotomy of Truth)</w:t>
      </w:r>
    </w:p>
    <w:p>
      <w:pPr>
        <w:spacing w:after="40" w:before="40"/>
        <w:ind w:left="360" w:hanging="200"/>
      </w:pPr>
      <w:r>
        <w:rPr>
          <w:sz w:val="21"/>
          <w:szCs w:val="21"/>
        </w:rPr>
        <w:t xml:space="preserve">•  Dichotomy click labels changed from old “Dichotomy of Extraction” language to:</w:t>
      </w:r>
    </w:p>
    <w:p>
      <w:pPr>
        <w:spacing w:after="40" w:before="40"/>
        <w:ind w:left="640" w:hanging="200"/>
      </w:pPr>
      <w:r>
        <w:rPr>
          <w:sz w:val="21"/>
          <w:szCs w:val="21"/>
        </w:rPr>
        <w:t xml:space="preserve">•  “Who Are the Workers?” → opens worker experience panel</w:t>
      </w:r>
    </w:p>
    <w:p>
      <w:pPr>
        <w:spacing w:after="40" w:before="40"/>
        <w:ind w:left="640" w:hanging="200"/>
      </w:pPr>
      <w:r>
        <w:rPr>
          <w:sz w:val="21"/>
          <w:szCs w:val="21"/>
        </w:rPr>
        <w:t xml:space="preserve">•  “What Is the True Effect on Americans?” → opens American impact panel</w:t>
      </w:r>
    </w:p>
    <w:p>
      <w:pPr>
        <w:pStyle w:val="Heading2"/>
        <w:spacing w:after="120" w:before="280"/>
      </w:pPr>
      <w:r>
        <w:rPr>
          <w:b/>
          <w:bCs/>
          <w:color w:val="2c3e6b"/>
          <w:sz w:val="26"/>
          <w:szCs w:val="26"/>
        </w:rPr>
        <w:t xml:space="preserve">Political Flip Teaser Strip</w:t>
      </w:r>
    </w:p>
    <w:p>
      <w:pPr>
        <w:spacing w:after="80" w:before="60"/>
      </w:pPr>
      <w:r>
        <w:rPr>
          <w:sz w:val="22"/>
          <w:szCs w:val="22"/>
        </w:rPr>
        <w:t xml:space="preserve">Below chain, above footer. Placeholder title, brief framing of party position reversal. Links to Section 06.</w:t>
      </w:r>
    </w:p>
    <w:p>
      <w:pPr>
        <w:pStyle w:val="Heading2"/>
        <w:spacing w:after="120" w:before="280"/>
      </w:pPr>
      <w:r>
        <w:rPr>
          <w:b/>
          <w:bCs/>
          <w:color w:val="2c3e6b"/>
          <w:sz w:val="26"/>
          <w:szCs w:val="26"/>
        </w:rPr>
        <w:t xml:space="preserve">Home Footer</w:t>
      </w:r>
    </w:p>
    <w:p>
      <w:pPr>
        <w:spacing w:after="80" w:before="60"/>
      </w:pPr>
      <w:r>
        <w:rPr>
          <w:sz w:val="22"/>
          <w:szCs w:val="22"/>
        </w:rPr>
        <w:t xml:space="preserve">Primary sources, “See My Work” link, “Created by [NAME] · University of Kentucky College of Law” credit line.</w:t>
      </w:r>
    </w:p>
    <w:p>
      <w:r>
        <w:br w:type="page"/>
      </w:r>
    </w:p>
    <w:p>
      <w:pPr>
        <w:pStyle w:val="Heading1"/>
        <w:spacing w:after="160" w:before="400"/>
      </w:pPr>
      <w:r>
        <w:rPr>
          <w:b/>
          <w:bCs/>
          <w:color w:val="1a1a2e"/>
          <w:sz w:val="32"/>
          <w:szCs w:val="32"/>
        </w:rPr>
        <w:t xml:space="preserve">SECTION 02 — INSTITUTIONAL ASSET MANAGERS</w:t>
      </w:r>
    </w:p>
    <w:p>
      <w:pPr>
        <w:pStyle w:val="Heading2"/>
        <w:spacing w:after="120" w:before="280"/>
      </w:pPr>
      <w:r>
        <w:rPr>
          <w:b/>
          <w:bCs/>
          <w:color w:val="2c3e6b"/>
          <w:sz w:val="26"/>
          <w:szCs w:val="26"/>
        </w:rPr>
        <w:t xml:space="preserve">Page Title</w:t>
      </w:r>
    </w:p>
    <w:p>
      <w:pPr>
        <w:spacing w:after="80" w:before="60"/>
      </w:pPr>
      <w:r>
        <w:rPr>
          <w:sz w:val="22"/>
          <w:szCs w:val="22"/>
        </w:rPr>
        <w:t xml:space="preserve">What Is an Asset Manager?</w:t>
      </w:r>
    </w:p>
    <w:p>
      <w:pPr>
        <w:pStyle w:val="Heading2"/>
        <w:spacing w:after="120" w:before="280"/>
      </w:pPr>
      <w:r>
        <w:rPr>
          <w:b/>
          <w:bCs/>
          <w:color w:val="2c3e6b"/>
          <w:sz w:val="26"/>
          <w:szCs w:val="26"/>
        </w:rPr>
        <w:t xml:space="preserve">Foundation Block (always visible)</w:t>
      </w:r>
    </w:p>
    <w:p>
      <w:pPr>
        <w:spacing w:after="80" w:before="60"/>
      </w:pPr>
      <w:r>
        <w:rPr>
          <w:i/>
          <w:iCs/>
          <w:sz w:val="22"/>
          <w:szCs w:val="22"/>
        </w:rPr>
        <w:t xml:space="preserve">BlackRock, Vanguard, and State Street manage retirement accounts for more than half of all U.S. households — 128 million individual investors. When you signed up for your 401(k), buried in the terms and conditions nobody reads, you handed them something far more valuable than your money: your vote. Every share of stock in your retirement account comes with a vote in how that company is run — who sits on the board, how executives get paid, what labor policies get approved. You gave those votes away without knowing it. Together, the Big Three control roughly three-quarters of the U.S. equity ETF market and cast votes at corporate elections in nearly every major American company — using your money, without asking you. No government. No union. No activist group comes close to that concentration of power. And it runs entirely on the retirement savings of ordinary Americans who have no idea it’s happening.</w:t>
      </w:r>
    </w:p>
    <w:p>
      <w:pPr>
        <w:spacing w:after="40" w:before="120"/>
      </w:pPr>
      <w:r>
        <w:rPr>
          <w:b/>
          <w:bCs/>
          <w:caps/>
          <w:color w:val="8B0000"/>
          <w:sz w:val="20"/>
          <w:szCs w:val="20"/>
        </w:rPr>
        <w:t xml:space="preserve">Sources: Verified</w:t>
      </w:r>
    </w:p>
    <w:p>
      <w:pPr>
        <w:spacing w:after="60" w:before="40"/>
        <w:ind w:left="360"/>
      </w:pPr>
      <w:r>
        <w:rPr>
          <w:i/>
          <w:iCs/>
          <w:color w:val="2a7a2a"/>
          <w:sz w:val="18"/>
          <w:szCs w:val="18"/>
        </w:rPr>
        <w:t xml:space="preserve">✓ Source: ICI 2025</w:t>
      </w:r>
    </w:p>
    <w:p>
      <w:pPr>
        <w:spacing w:after="60" w:before="40"/>
        <w:ind w:left="360"/>
      </w:pPr>
      <w:r>
        <w:rPr>
          <w:i/>
          <w:iCs/>
          <w:color w:val="2a7a2a"/>
          <w:sz w:val="18"/>
          <w:szCs w:val="18"/>
        </w:rPr>
        <w:t xml:space="preserve">✓ Source: U.S. News / ETF.com — ~74% equity ETF market</w:t>
      </w:r>
    </w:p>
    <w:p>
      <w:pPr>
        <w:spacing w:after="60" w:before="40"/>
        <w:ind w:left="360"/>
      </w:pPr>
      <w:r>
        <w:rPr>
          <w:i/>
          <w:iCs/>
          <w:color w:val="2a7a2a"/>
          <w:sz w:val="18"/>
          <w:szCs w:val="18"/>
        </w:rPr>
        <w:t xml:space="preserve">✓ Source: DOL Federal Register (proxy voting rules)</w:t>
      </w:r>
    </w:p>
    <w:p>
      <w:pPr>
        <w:pStyle w:val="Heading2"/>
        <w:spacing w:after="120" w:before="280"/>
      </w:pPr>
      <w:r>
        <w:rPr>
          <w:b/>
          <w:bCs/>
          <w:color w:val="2c3e6b"/>
          <w:sz w:val="26"/>
          <w:szCs w:val="26"/>
        </w:rPr>
        <w:t xml:space="preserve">Accordion Panels</w:t>
      </w:r>
    </w:p>
    <w:p>
      <w:pPr>
        <w:pStyle w:val="Heading3"/>
        <w:spacing w:after="80" w:before="200"/>
      </w:pPr>
      <w:r>
        <w:rPr>
          <w:b/>
          <w:bCs/>
          <w:color w:val="444466"/>
          <w:sz w:val="22"/>
          <w:szCs w:val="22"/>
        </w:rPr>
        <w:t xml:space="preserve">Where Their Money Comes From</w:t>
      </w:r>
    </w:p>
    <w:p>
      <w:pPr>
        <w:spacing w:after="40" w:before="40"/>
        <w:ind w:left="360" w:hanging="200"/>
      </w:pPr>
      <w:r>
        <w:rPr>
          <w:sz w:val="21"/>
          <w:szCs w:val="21"/>
        </w:rPr>
        <w:t xml:space="preserve">•  Private 401(k)/IRA/pension automatic flows</w:t>
      </w:r>
    </w:p>
    <w:p>
      <w:pPr>
        <w:spacing w:after="40" w:before="40"/>
        <w:ind w:left="360" w:hanging="200"/>
      </w:pPr>
      <w:r>
        <w:rPr>
          <w:sz w:val="21"/>
          <w:szCs w:val="21"/>
        </w:rPr>
        <w:t xml:space="preserve">•  Private retirement plans: ~$21T+</w:t>
      </w:r>
    </w:p>
    <w:p>
      <w:pPr>
        <w:spacing w:after="40" w:before="40"/>
        <w:ind w:left="360" w:hanging="200"/>
      </w:pPr>
      <w:r>
        <w:rPr>
          <w:sz w:val="21"/>
          <w:szCs w:val="21"/>
        </w:rPr>
        <w:t xml:space="preserve">•  State &amp; local public pensions: ~$10T</w:t>
      </w:r>
    </w:p>
    <w:p>
      <w:pPr>
        <w:spacing w:after="40" w:before="40"/>
        <w:ind w:left="360" w:hanging="200"/>
      </w:pPr>
      <w:r>
        <w:rPr>
          <w:sz w:val="21"/>
          <w:szCs w:val="21"/>
        </w:rPr>
        <w:t xml:space="preserve">•  Federal TSP: $1.07T (7.3M federal employees/military; BlackRock and State Street directly manage index funds)</w:t>
      </w:r>
    </w:p>
    <w:p>
      <w:pPr>
        <w:spacing w:after="40" w:before="40"/>
        <w:ind w:left="360" w:hanging="200"/>
      </w:pPr>
      <w:r>
        <w:rPr>
          <w:sz w:val="21"/>
          <w:szCs w:val="21"/>
        </w:rPr>
        <w:t xml:space="preserve">•  BlackRock pension AUM alone: $3.9T (shown in red)</w:t>
      </w:r>
    </w:p>
    <w:p>
      <w:pPr>
        <w:spacing w:after="60" w:before="40"/>
        <w:ind w:left="360"/>
      </w:pPr>
      <w:r>
        <w:rPr>
          <w:i/>
          <w:iCs/>
          <w:color w:val="2a7a2a"/>
          <w:sz w:val="18"/>
          <w:szCs w:val="18"/>
        </w:rPr>
        <w:t xml:space="preserve">✓ Source: BlackRock Q1 2026 earnings, TSP annual report, ICI 2025</w:t>
      </w:r>
    </w:p>
    <w:p>
      <w:pPr>
        <w:pStyle w:val="Heading3"/>
        <w:spacing w:after="80" w:before="200"/>
      </w:pPr>
      <w:r>
        <w:rPr>
          <w:b/>
          <w:bCs/>
          <w:color w:val="444466"/>
          <w:sz w:val="22"/>
          <w:szCs w:val="22"/>
        </w:rPr>
        <w:t xml:space="preserve">How You Gave Away Your Vote Without Knowing It</w:t>
      </w:r>
    </w:p>
    <w:p>
      <w:pPr>
        <w:spacing w:after="40" w:before="40"/>
        <w:ind w:left="360" w:hanging="200"/>
      </w:pPr>
      <w:r>
        <w:rPr>
          <w:sz w:val="21"/>
          <w:szCs w:val="21"/>
        </w:rPr>
        <w:t xml:space="preserve">•  ERISA §403(a)(2) — proxy voting is fiduciary duty of the manager, not the participant</w:t>
      </w:r>
    </w:p>
    <w:p>
      <w:pPr>
        <w:spacing w:after="60" w:before="40"/>
        <w:ind w:left="360"/>
      </w:pPr>
      <w:r>
        <w:rPr>
          <w:i/>
          <w:iCs/>
          <w:color w:val="2a7a2a"/>
          <w:sz w:val="18"/>
          <w:szCs w:val="18"/>
        </w:rPr>
        <w:t xml:space="preserve">✓ Source: DOL Federal Register, December 16, 2020 — federalregister.gov/documents/2020/12/16/2020-27465</w:t>
      </w:r>
    </w:p>
    <w:p>
      <w:pPr>
        <w:pStyle w:val="Heading3"/>
        <w:spacing w:after="80" w:before="200"/>
      </w:pPr>
      <w:r>
        <w:rPr>
          <w:b/>
          <w:bCs/>
          <w:color w:val="444466"/>
          <w:sz w:val="22"/>
          <w:szCs w:val="22"/>
        </w:rPr>
        <w:t xml:space="preserve">What They Do With That Voting Power</w:t>
      </w:r>
    </w:p>
    <w:p>
      <w:pPr>
        <w:spacing w:after="40" w:before="40"/>
        <w:ind w:left="360" w:hanging="200"/>
      </w:pPr>
      <w:r>
        <w:rPr>
          <w:sz w:val="21"/>
          <w:szCs w:val="21"/>
        </w:rPr>
        <w:t xml:space="preserve">•  Big Three largest shareholder in ~88% of S&amp;P 500 companies</w:t>
      </w:r>
    </w:p>
    <w:p>
      <w:pPr>
        <w:spacing w:after="40" w:before="40"/>
        <w:ind w:left="360" w:hanging="200"/>
      </w:pPr>
      <w:r>
        <w:rPr>
          <w:sz w:val="21"/>
          <w:szCs w:val="21"/>
        </w:rPr>
        <w:t xml:space="preserve">•  20–25% median voting power at any shareholder meeting</w:t>
      </w:r>
    </w:p>
    <w:p>
      <w:pPr>
        <w:spacing w:after="40" w:before="40"/>
        <w:ind w:left="360" w:hanging="200"/>
      </w:pPr>
      <w:r>
        <w:rPr>
          <w:sz w:val="21"/>
          <w:szCs w:val="21"/>
        </w:rPr>
        <w:t xml:space="preserve">•  98.7% management proposal support rate, 2025 proxy season</w:t>
      </w:r>
    </w:p>
    <w:p>
      <w:pPr>
        <w:spacing w:after="60" w:before="40"/>
        <w:ind w:left="360"/>
      </w:pPr>
      <w:r>
        <w:rPr>
          <w:i/>
          <w:iCs/>
          <w:color w:val="2a7a2a"/>
          <w:sz w:val="18"/>
          <w:szCs w:val="18"/>
        </w:rPr>
        <w:t xml:space="preserve">✓ Source: Morningstar 2025, ICFS / SparkCo</w:t>
      </w:r>
    </w:p>
    <w:p>
      <w:pPr>
        <w:pStyle w:val="Heading3"/>
        <w:spacing w:after="80" w:before="200"/>
      </w:pPr>
      <w:r>
        <w:rPr>
          <w:b/>
          <w:bCs/>
          <w:color w:val="444466"/>
          <w:sz w:val="22"/>
          <w:szCs w:val="22"/>
        </w:rPr>
        <w:t xml:space="preserve">Why They Always Vote the Same Way</w:t>
      </w:r>
    </w:p>
    <w:p>
      <w:pPr>
        <w:spacing w:after="40" w:before="40"/>
        <w:ind w:left="360" w:hanging="200"/>
      </w:pPr>
      <w:r>
        <w:rPr>
          <w:sz w:val="21"/>
          <w:szCs w:val="21"/>
        </w:rPr>
        <w:t xml:space="preserve">•  Vanguard: ~9% stake in BlackRock (~$15B)</w:t>
      </w:r>
    </w:p>
    <w:p>
      <w:pPr>
        <w:spacing w:after="40" w:before="40"/>
        <w:ind w:left="360" w:hanging="200"/>
      </w:pPr>
      <w:r>
        <w:rPr>
          <w:sz w:val="21"/>
          <w:szCs w:val="21"/>
        </w:rPr>
        <w:t xml:space="preserve">•  BlackRock: ~6.5% self-ownership through funds</w:t>
      </w:r>
    </w:p>
    <w:p>
      <w:pPr>
        <w:spacing w:after="40" w:before="40"/>
        <w:ind w:left="360" w:hanging="200"/>
      </w:pPr>
      <w:r>
        <w:rPr>
          <w:sz w:val="21"/>
          <w:szCs w:val="21"/>
        </w:rPr>
        <w:t xml:space="preserve">•  State Street: ~4% stake in BlackRock</w:t>
      </w:r>
    </w:p>
    <w:p>
      <w:pPr>
        <w:spacing w:after="40" w:before="40"/>
        <w:ind w:left="360" w:hanging="200"/>
      </w:pPr>
      <w:r>
        <w:rPr>
          <w:sz w:val="21"/>
          <w:szCs w:val="21"/>
        </w:rPr>
        <w:t xml:space="preserve">•  BlackRock: ~8% stake in State Street</w:t>
      </w:r>
    </w:p>
    <w:p>
      <w:pPr>
        <w:spacing w:after="60" w:before="40"/>
        <w:ind w:left="360"/>
      </w:pPr>
      <w:r>
        <w:rPr>
          <w:i/>
          <w:iCs/>
          <w:color w:val="2a7a2a"/>
          <w:sz w:val="18"/>
          <w:szCs w:val="18"/>
        </w:rPr>
        <w:t xml:space="preserve">✓ Source: SEC 13F filings Q4 2025/early 2026 — Fintel, WhaleWisdom</w:t>
      </w:r>
    </w:p>
    <w:p>
      <w:pPr>
        <w:pStyle w:val="Heading3"/>
        <w:spacing w:after="80" w:before="200"/>
      </w:pPr>
      <w:r>
        <w:rPr>
          <w:b/>
          <w:bCs/>
          <w:color w:val="444466"/>
          <w:sz w:val="22"/>
          <w:szCs w:val="22"/>
        </w:rPr>
        <w:t xml:space="preserve">How They Influence Policy Without Lobbying For It</w:t>
      </w:r>
    </w:p>
    <w:p>
      <w:pPr>
        <w:spacing w:after="40" w:before="40"/>
        <w:ind w:left="360" w:hanging="200"/>
      </w:pPr>
      <w:r>
        <w:rPr>
          <w:sz w:val="21"/>
          <w:szCs w:val="21"/>
        </w:rPr>
        <w:t xml:space="preserve">•  BlackRock: $3.4M federal lobbying, 2025 — almost none on immigration</w:t>
      </w:r>
    </w:p>
    <w:p>
      <w:pPr>
        <w:spacing w:after="40" w:before="40"/>
        <w:ind w:left="360" w:hanging="200"/>
      </w:pPr>
      <w:r>
        <w:rPr>
          <w:sz w:val="21"/>
          <w:szCs w:val="21"/>
        </w:rPr>
        <w:t xml:space="preserve">•  Vanguard: $2.58M federal lobbying, 2025 — almost none on immigration</w:t>
      </w:r>
    </w:p>
    <w:p>
      <w:pPr>
        <w:spacing w:after="40" w:before="40"/>
        <w:ind w:left="360" w:hanging="200"/>
      </w:pPr>
      <w:r>
        <w:rPr>
          <w:sz w:val="21"/>
          <w:szCs w:val="21"/>
        </w:rPr>
        <w:t xml:space="preserve">•  Portfolio companies do the direct lobbying; managers vote aligned blocks</w:t>
      </w:r>
    </w:p>
    <w:p>
      <w:pPr>
        <w:spacing w:after="60" w:before="40"/>
        <w:ind w:left="360"/>
      </w:pPr>
      <w:r>
        <w:rPr>
          <w:i/>
          <w:iCs/>
          <w:color w:val="2a7a2a"/>
          <w:sz w:val="18"/>
          <w:szCs w:val="18"/>
        </w:rPr>
        <w:t xml:space="preserve">✓ Source: OpenSecrets 2025</w:t>
      </w:r>
    </w:p>
    <w:p>
      <w:r>
        <w:br w:type="page"/>
      </w:r>
    </w:p>
    <w:p>
      <w:pPr>
        <w:pStyle w:val="Heading1"/>
        <w:spacing w:after="160" w:before="400"/>
      </w:pPr>
      <w:r>
        <w:rPr>
          <w:b/>
          <w:bCs/>
          <w:color w:val="1a1a2e"/>
          <w:sz w:val="32"/>
          <w:szCs w:val="32"/>
        </w:rPr>
        <w:t xml:space="preserve">SECTION 03a — THE H-1B VISA</w:t>
      </w:r>
    </w:p>
    <w:p>
      <w:pPr>
        <w:pStyle w:val="Heading2"/>
        <w:spacing w:after="120" w:before="280"/>
      </w:pPr>
      <w:r>
        <w:rPr>
          <w:b/>
          <w:bCs/>
          <w:color w:val="2c3e6b"/>
          <w:sz w:val="26"/>
          <w:szCs w:val="26"/>
        </w:rPr>
        <w:t xml:space="preserve">Page Title</w:t>
      </w:r>
    </w:p>
    <w:p>
      <w:pPr>
        <w:spacing w:after="80" w:before="60"/>
      </w:pPr>
      <w:r>
        <w:rPr>
          <w:sz w:val="22"/>
          <w:szCs w:val="22"/>
        </w:rPr>
        <w:t xml:space="preserve">Skilled Worker Visa: What the Law Says vs. What Actually Happens</w:t>
      </w:r>
    </w:p>
    <w:p>
      <w:pPr>
        <w:pStyle w:val="Heading2"/>
        <w:spacing w:after="120" w:before="280"/>
      </w:pPr>
      <w:r>
        <w:rPr>
          <w:b/>
          <w:bCs/>
          <w:color w:val="2c3e6b"/>
          <w:sz w:val="26"/>
          <w:szCs w:val="26"/>
        </w:rPr>
        <w:t xml:space="preserve">Program Scale — Verified Figures</w:t>
      </w:r>
    </w:p>
    <w:p>
      <w:pPr>
        <w:spacing w:after="20" w:before="60"/>
        <w:ind w:left="360" w:hanging="200"/>
      </w:pPr>
      <w:r>
        <w:rPr>
          <w:sz w:val="21"/>
          <w:szCs w:val="21"/>
        </w:rPr>
        <w:t xml:space="preserve">•  </w:t>
      </w:r>
      <w:r>
        <w:rPr>
          <w:b/>
          <w:bCs/>
          <w:sz w:val="21"/>
          <w:szCs w:val="21"/>
        </w:rPr>
        <w:t xml:space="preserve">~730,000 H-1B workers currently active in the U.S. (early 2026)</w:t>
      </w:r>
    </w:p>
    <w:p>
      <w:pPr>
        <w:spacing w:after="60" w:before="0"/>
        <w:ind w:left="560"/>
      </w:pPr>
      <w:r>
        <w:rPr>
          <w:i/>
          <w:iCs/>
          <w:color w:val="2a7a2a"/>
          <w:sz w:val="18"/>
          <w:szCs w:val="18"/>
        </w:rPr>
        <w:t xml:space="preserve">✓ USCIS H-1B Employer Data Hub, FY2026 Q1</w:t>
      </w:r>
    </w:p>
    <w:p>
      <w:pPr>
        <w:spacing w:after="20" w:before="60"/>
        <w:ind w:left="360" w:hanging="200"/>
      </w:pPr>
      <w:r>
        <w:rPr>
          <w:sz w:val="21"/>
          <w:szCs w:val="21"/>
        </w:rPr>
        <w:t xml:space="preserve">•  </w:t>
      </w:r>
      <w:r>
        <w:rPr>
          <w:b/>
          <w:bCs/>
          <w:sz w:val="21"/>
          <w:szCs w:val="21"/>
        </w:rPr>
        <w:t xml:space="preserve">FY2025: ~456,725 petitions filed; ~328,185 approved</w:t>
      </w:r>
    </w:p>
    <w:p>
      <w:pPr>
        <w:spacing w:after="60" w:before="0"/>
        <w:ind w:left="560"/>
      </w:pPr>
      <w:r>
        <w:rPr>
          <w:i/>
          <w:iCs/>
          <w:color w:val="2a7a2a"/>
          <w:sz w:val="18"/>
          <w:szCs w:val="18"/>
        </w:rPr>
        <w:t xml:space="preserve">✓ USCIS FY2025 H-1B Petitions Report</w:t>
      </w:r>
    </w:p>
    <w:p>
      <w:pPr>
        <w:spacing w:after="20" w:before="60"/>
        <w:ind w:left="360" w:hanging="200"/>
      </w:pPr>
      <w:r>
        <w:rPr>
          <w:sz w:val="21"/>
          <w:szCs w:val="21"/>
        </w:rPr>
        <w:t xml:space="preserve">•  </w:t>
      </w:r>
      <w:r>
        <w:rPr>
          <w:b/>
          <w:bCs/>
          <w:sz w:val="21"/>
          <w:szCs w:val="21"/>
        </w:rPr>
        <w:t xml:space="preserve">Annual cap: 65,000 regular + 20,000 advanced-degree exemption (cap-exempt employers uncapped)</w:t>
      </w:r>
    </w:p>
    <w:p>
      <w:pPr>
        <w:spacing w:after="60" w:before="0"/>
        <w:ind w:left="560"/>
      </w:pPr>
      <w:r>
        <w:rPr>
          <w:i/>
          <w:iCs/>
          <w:color w:val="2a7a2a"/>
          <w:sz w:val="18"/>
          <w:szCs w:val="18"/>
        </w:rPr>
        <w:t xml:space="preserve">✓ INA §101(a)(15)(H)(i)(b)</w:t>
      </w:r>
    </w:p>
    <w:p>
      <w:pPr>
        <w:spacing w:after="20" w:before="60"/>
        <w:ind w:left="360" w:hanging="200"/>
      </w:pPr>
      <w:r>
        <w:rPr>
          <w:sz w:val="21"/>
          <w:szCs w:val="21"/>
        </w:rPr>
        <w:t xml:space="preserve">•  </w:t>
      </w:r>
      <w:r>
        <w:rPr>
          <w:b/>
          <w:bCs/>
          <w:sz w:val="21"/>
          <w:szCs w:val="21"/>
        </w:rPr>
        <w:t xml:space="preserve">India: ~71–73% of approvals (dominant due to IT outsourcing pipelines)</w:t>
      </w:r>
    </w:p>
    <w:p>
      <w:pPr>
        <w:spacing w:after="60" w:before="0"/>
        <w:ind w:left="560"/>
      </w:pPr>
      <w:r>
        <w:rPr>
          <w:i/>
          <w:iCs/>
          <w:color w:val="2a7a2a"/>
          <w:sz w:val="18"/>
          <w:szCs w:val="18"/>
        </w:rPr>
        <w:t xml:space="preserve">✓ USCIS FY2023–2025 data</w:t>
      </w:r>
    </w:p>
    <w:p>
      <w:pPr>
        <w:spacing w:after="20" w:before="60"/>
        <w:ind w:left="360" w:hanging="200"/>
      </w:pPr>
      <w:r>
        <w:rPr>
          <w:sz w:val="21"/>
          <w:szCs w:val="21"/>
        </w:rPr>
        <w:t xml:space="preserve">•  </w:t>
      </w:r>
      <w:r>
        <w:rPr>
          <w:b/>
          <w:bCs/>
          <w:sz w:val="21"/>
          <w:szCs w:val="21"/>
        </w:rPr>
        <w:t xml:space="preserve">China: ~11–12%; all others under 2% each</w:t>
      </w:r>
    </w:p>
    <w:p>
      <w:pPr>
        <w:spacing w:after="60" w:before="0"/>
        <w:ind w:left="560"/>
      </w:pPr>
      <w:r>
        <w:rPr>
          <w:i/>
          <w:iCs/>
          <w:color w:val="2a7a2a"/>
          <w:sz w:val="18"/>
          <w:szCs w:val="18"/>
        </w:rPr>
        <w:t xml:space="preserve">✓ USCIS country-of-birth data</w:t>
      </w:r>
    </w:p>
    <w:p>
      <w:pPr>
        <w:pStyle w:val="Heading2"/>
        <w:spacing w:after="120" w:before="280"/>
      </w:pPr>
      <w:r>
        <w:rPr>
          <w:b/>
          <w:bCs/>
          <w:color w:val="2c3e6b"/>
          <w:sz w:val="26"/>
          <w:szCs w:val="26"/>
        </w:rPr>
        <w:t xml:space="preserve">FY2025 Top 5 H-1B Sponsors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Rank</w:t>
            </w:r>
          </w:p>
        </w:tc>
        <w:tc>
          <w:tcPr>
            <w:tcW w:type="dxa" w:w="556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Company</w:t>
            </w:r>
          </w:p>
        </w:tc>
        <w:tc>
          <w:tcPr>
            <w:tcW w:type="dxa" w:w="30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FY2025 Approvals</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Amazon</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4,644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Meta Platforms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1,555</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3</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Microsoft</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1,394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Google (Alphabet)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1,050</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5</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Tata Consultancy Services</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846</w:t>
            </w:r>
          </w:p>
        </w:tc>
      </w:tr>
    </w:tbl>
    <w:p>
      <w:pPr>
        <w:spacing w:after="120" w:before="60"/>
      </w:pPr>
      <w:r>
        <w:rPr>
          <w:i/>
          <w:iCs/>
          <w:color w:val="2a7a2a"/>
          <w:sz w:val="18"/>
          <w:szCs w:val="18"/>
        </w:rPr>
        <w:t xml:space="preserve">✓ Source: NFAP Policy Brief + USCIS H-1B Employer Data Hub, FY2025</w:t>
      </w:r>
    </w:p>
    <w:p>
      <w:pPr>
        <w:pStyle w:val="Heading2"/>
        <w:spacing w:after="120" w:before="280"/>
      </w:pPr>
      <w:r>
        <w:rPr>
          <w:b/>
          <w:bCs/>
          <w:color w:val="2c3e6b"/>
          <w:sz w:val="26"/>
          <w:szCs w:val="26"/>
        </w:rPr>
        <w:t xml:space="preserve">Wage &amp; Compensation Reality — Verified</w:t>
      </w:r>
    </w:p>
    <w:p>
      <w:pPr>
        <w:spacing w:after="20" w:before="60"/>
        <w:ind w:left="360" w:hanging="200"/>
      </w:pPr>
      <w:r>
        <w:rPr>
          <w:sz w:val="21"/>
          <w:szCs w:val="21"/>
        </w:rPr>
        <w:t xml:space="preserve">•  </w:t>
      </w:r>
      <w:r>
        <w:rPr>
          <w:b/>
          <w:bCs/>
          <w:sz w:val="21"/>
          <w:szCs w:val="21"/>
        </w:rPr>
        <w:t xml:space="preserve">H-1B workers earn 16% less than comparable U.S. workers after controls (NBER 2026)</w:t>
      </w:r>
    </w:p>
    <w:p>
      <w:pPr>
        <w:spacing w:after="60" w:before="0"/>
        <w:ind w:left="560"/>
      </w:pPr>
      <w:r>
        <w:rPr>
          <w:i/>
          <w:iCs/>
          <w:color w:val="2a7a2a"/>
          <w:sz w:val="18"/>
          <w:szCs w:val="18"/>
        </w:rPr>
        <w:t xml:space="preserve">✓ NBER Working Paper w34793, Feb 2026 — nber.org/system/files/working_papers/w34793/w34793.pdf</w:t>
      </w:r>
    </w:p>
    <w:p>
      <w:pPr>
        <w:spacing w:after="20" w:before="60"/>
        <w:ind w:left="360" w:hanging="200"/>
      </w:pPr>
      <w:r>
        <w:rPr>
          <w:sz w:val="21"/>
          <w:szCs w:val="21"/>
        </w:rPr>
        <w:t xml:space="preserve">•  </w:t>
      </w:r>
      <w:r>
        <w:rPr>
          <w:b/>
          <w:bCs/>
          <w:sz w:val="21"/>
          <w:szCs w:val="21"/>
        </w:rPr>
        <w:t xml:space="preserve">At outsourcing firms, wage gap reaches up to 35%</w:t>
      </w:r>
    </w:p>
    <w:p>
      <w:pPr>
        <w:spacing w:after="60" w:before="0"/>
        <w:ind w:left="560"/>
      </w:pPr>
      <w:r>
        <w:rPr>
          <w:i/>
          <w:iCs/>
          <w:color w:val="2a7a2a"/>
          <w:sz w:val="18"/>
          <w:szCs w:val="18"/>
        </w:rPr>
        <w:t xml:space="preserve">✓ NBER 2026</w:t>
      </w:r>
    </w:p>
    <w:p>
      <w:pPr>
        <w:spacing w:after="20" w:before="60"/>
        <w:ind w:left="360" w:hanging="200"/>
      </w:pPr>
      <w:r>
        <w:rPr>
          <w:sz w:val="21"/>
          <w:szCs w:val="21"/>
        </w:rPr>
        <w:t xml:space="preserve">•  </w:t>
      </w:r>
      <w:r>
        <w:rPr>
          <w:b/>
          <w:bCs/>
          <w:sz w:val="21"/>
          <w:szCs w:val="21"/>
        </w:rPr>
        <w:t xml:space="preserve">Average offered H-1B wages ~$10,191 below OEWS mean for similar occupations</w:t>
      </w:r>
    </w:p>
    <w:p>
      <w:pPr>
        <w:spacing w:after="60" w:before="0"/>
        <w:ind w:left="560"/>
      </w:pPr>
      <w:r>
        <w:rPr>
          <w:i/>
          <w:iCs/>
          <w:color w:val="2a7a2a"/>
          <w:sz w:val="18"/>
          <w:szCs w:val="18"/>
        </w:rPr>
        <w:t xml:space="preserve">✓ DOL LCA wage analysis</w:t>
      </w:r>
    </w:p>
    <w:p>
      <w:pPr>
        <w:spacing w:after="20" w:before="60"/>
        <w:ind w:left="360" w:hanging="200"/>
      </w:pPr>
      <w:r>
        <w:rPr>
          <w:sz w:val="21"/>
          <w:szCs w:val="21"/>
        </w:rPr>
        <w:t xml:space="preserve">•  </w:t>
      </w:r>
      <w:r>
        <w:rPr>
          <w:b/>
          <w:bCs/>
          <w:sz w:val="21"/>
          <w:szCs w:val="21"/>
        </w:rPr>
        <w:t xml:space="preserve">EPI documents HCL wage theft: $95M in underpayment</w:t>
      </w:r>
    </w:p>
    <w:p>
      <w:pPr>
        <w:spacing w:after="60" w:before="0"/>
        <w:ind w:left="560"/>
      </w:pPr>
      <w:r>
        <w:rPr>
          <w:i/>
          <w:iCs/>
          <w:color w:val="2a7a2a"/>
          <w:sz w:val="18"/>
          <w:szCs w:val="18"/>
        </w:rPr>
        <w:t xml:space="preserve">✓ EPI — epi.org/publication/new-evidence-widespread-wage-theft-in-the-h-1b-program/</w:t>
      </w:r>
    </w:p>
    <w:p>
      <w:pPr>
        <w:spacing w:after="20" w:before="60"/>
        <w:ind w:left="360" w:hanging="200"/>
      </w:pPr>
      <w:r>
        <w:rPr>
          <w:sz w:val="21"/>
          <w:szCs w:val="21"/>
        </w:rPr>
        <w:t xml:space="preserve">•  </w:t>
      </w:r>
      <w:r>
        <w:rPr>
          <w:b/>
          <w:bCs/>
          <w:sz w:val="21"/>
          <w:szCs w:val="21"/>
        </w:rPr>
        <w:t xml:space="preserve">Bench time: non-billable periods mean reduced/no pay while still tied to sponsor</w:t>
      </w:r>
    </w:p>
    <w:p>
      <w:pPr>
        <w:spacing w:after="60" w:before="0"/>
        <w:ind w:left="560"/>
      </w:pPr>
      <w:r>
        <w:rPr>
          <w:i/>
          <w:iCs/>
          <w:color w:val="2a7a2a"/>
          <w:sz w:val="18"/>
          <w:szCs w:val="18"/>
        </w:rPr>
        <w:t xml:space="preserve">✓ EPI / GAO patterns</w:t>
      </w:r>
    </w:p>
    <w:p>
      <w:pPr>
        <w:spacing w:after="20" w:before="60"/>
        <w:ind w:left="360" w:hanging="200"/>
      </w:pPr>
      <w:r>
        <w:rPr>
          <w:sz w:val="21"/>
          <w:szCs w:val="21"/>
        </w:rPr>
        <w:t xml:space="preserve">•  </w:t>
      </w:r>
      <w:r>
        <w:rPr>
          <w:b/>
          <w:bCs/>
          <w:sz w:val="21"/>
          <w:szCs w:val="21"/>
        </w:rPr>
        <w:t xml:space="preserve">Illegal recruiter fees: hundreds to thousands of dollars upfront (prohibited but common)</w:t>
      </w:r>
    </w:p>
    <w:p>
      <w:pPr>
        <w:spacing w:after="60" w:before="0"/>
        <w:ind w:left="560"/>
      </w:pPr>
      <w:r>
        <w:rPr>
          <w:i/>
          <w:iCs/>
          <w:color w:val="2a7a2a"/>
          <w:sz w:val="18"/>
          <w:szCs w:val="18"/>
        </w:rPr>
        <w:t xml:space="preserve">✓ DOJ Compunnel settlement April 2026 / ProPublica</w:t>
      </w:r>
    </w:p>
    <w:p>
      <w:pPr>
        <w:pStyle w:val="Heading2"/>
        <w:spacing w:after="120" w:before="280"/>
      </w:pPr>
      <w:r>
        <w:rPr>
          <w:b/>
          <w:bCs/>
          <w:color w:val="2c3e6b"/>
          <w:sz w:val="26"/>
          <w:szCs w:val="26"/>
        </w:rPr>
        <w:t xml:space="preserve">The Rubber-Stamp Reality</w:t>
      </w:r>
    </w:p>
    <w:p>
      <w:pPr>
        <w:spacing w:after="20" w:before="60"/>
        <w:ind w:left="360" w:hanging="200"/>
      </w:pPr>
      <w:r>
        <w:rPr>
          <w:sz w:val="21"/>
          <w:szCs w:val="21"/>
        </w:rPr>
        <w:t xml:space="preserve">•  </w:t>
      </w:r>
      <w:r>
        <w:rPr>
          <w:b/>
          <w:bCs/>
          <w:sz w:val="21"/>
          <w:szCs w:val="21"/>
        </w:rPr>
        <w:t xml:space="preserve">DOL approves ~99% of LCAs — self-attested, minimal audit</w:t>
      </w:r>
    </w:p>
    <w:p>
      <w:pPr>
        <w:spacing w:after="60" w:before="0"/>
        <w:ind w:left="560"/>
      </w:pPr>
      <w:r>
        <w:rPr>
          <w:i/>
          <w:iCs/>
          <w:color w:val="2a7a2a"/>
          <w:sz w:val="18"/>
          <w:szCs w:val="18"/>
        </w:rPr>
        <w:t xml:space="preserve">✓ DOL Fact Sheet #26A</w:t>
      </w:r>
    </w:p>
    <w:p>
      <w:pPr>
        <w:spacing w:after="20" w:before="60"/>
        <w:ind w:left="360" w:hanging="200"/>
      </w:pPr>
      <w:r>
        <w:rPr>
          <w:sz w:val="21"/>
          <w:szCs w:val="21"/>
        </w:rPr>
        <w:t xml:space="preserve">•  </w:t>
      </w:r>
      <w:r>
        <w:rPr>
          <w:b/>
          <w:bCs/>
          <w:sz w:val="21"/>
          <w:szCs w:val="21"/>
        </w:rPr>
        <w:t xml:space="preserve">DOJ Compunnel settlement (April 2026): ads explicitly excluded U.S. citizens</w:t>
      </w:r>
    </w:p>
    <w:p>
      <w:pPr>
        <w:spacing w:after="60" w:before="0"/>
        <w:ind w:left="560"/>
      </w:pPr>
      <w:r>
        <w:rPr>
          <w:i/>
          <w:iCs/>
          <w:color w:val="2a7a2a"/>
          <w:sz w:val="18"/>
          <w:szCs w:val="18"/>
        </w:rPr>
        <w:t xml:space="preserve">✓ justice.gov/opa/pr/civil-rights-division-obtains-settlement-company-discouraged-us-workers-applying-jobs</w:t>
      </w:r>
    </w:p>
    <w:p>
      <w:pPr>
        <w:spacing w:after="20" w:before="60"/>
        <w:ind w:left="360" w:hanging="200"/>
      </w:pPr>
      <w:r>
        <w:rPr>
          <w:sz w:val="21"/>
          <w:szCs w:val="21"/>
        </w:rPr>
        <w:t xml:space="preserve">•  </w:t>
      </w:r>
      <w:r>
        <w:rPr>
          <w:b/>
          <w:bCs/>
          <w:sz w:val="21"/>
          <w:szCs w:val="21"/>
        </w:rPr>
        <w:t xml:space="preserve">Project Firewall (launched Sep 2025): 48% increase in DOL H-1B investigations; &gt;175 probes launched as of Nov 2025</w:t>
      </w:r>
    </w:p>
    <w:p>
      <w:pPr>
        <w:spacing w:after="60" w:before="0"/>
        <w:ind w:left="560"/>
      </w:pPr>
      <w:r>
        <w:rPr>
          <w:i/>
          <w:iCs/>
          <w:color w:val="2a7a2a"/>
          <w:sz w:val="18"/>
          <w:szCs w:val="18"/>
        </w:rPr>
        <w:t xml:space="preserve">✓ DOL Project Firewall — dol.gov/newsroom/releases/osec/osec20250919</w:t>
      </w:r>
    </w:p>
    <w:p>
      <w:pPr>
        <w:spacing w:after="20" w:before="60"/>
        <w:ind w:left="360" w:hanging="200"/>
      </w:pPr>
      <w:r>
        <w:rPr>
          <w:sz w:val="21"/>
          <w:szCs w:val="21"/>
        </w:rPr>
        <w:t xml:space="preserve">•  </w:t>
      </w:r>
      <w:r>
        <w:rPr>
          <w:b/>
          <w:bCs/>
          <w:sz w:val="21"/>
          <w:szCs w:val="21"/>
        </w:rPr>
        <w:t xml:space="preserve">DOL NPRM (March 2026): proposed wage rule to raise LCA levels to higher OEWS percentiles</w:t>
      </w:r>
    </w:p>
    <w:p>
      <w:pPr>
        <w:spacing w:after="60" w:before="0"/>
        <w:ind w:left="560"/>
      </w:pPr>
      <w:r>
        <w:rPr>
          <w:i/>
          <w:iCs/>
          <w:color w:val="2a7a2a"/>
          <w:sz w:val="18"/>
          <w:szCs w:val="18"/>
        </w:rPr>
        <w:t xml:space="preserve">✓ federalregister.gov/documents/2026/03/27/2026-06017/...</w:t>
      </w:r>
    </w:p>
    <w:p>
      <w:pPr>
        <w:pStyle w:val="Heading2"/>
        <w:spacing w:after="120" w:before="280"/>
      </w:pPr>
      <w:r>
        <w:rPr>
          <w:b/>
          <w:bCs/>
          <w:color w:val="2c3e6b"/>
          <w:sz w:val="26"/>
          <w:szCs w:val="26"/>
        </w:rPr>
        <w:t xml:space="preserve">Visa Dependency Structure</w:t>
      </w:r>
    </w:p>
    <w:p>
      <w:pPr>
        <w:spacing w:after="20" w:before="60"/>
        <w:ind w:left="360" w:hanging="200"/>
      </w:pPr>
      <w:r>
        <w:rPr>
          <w:sz w:val="21"/>
          <w:szCs w:val="21"/>
        </w:rPr>
        <w:t xml:space="preserve">•  </w:t>
      </w:r>
      <w:r>
        <w:rPr>
          <w:b/>
          <w:bCs/>
          <w:sz w:val="21"/>
          <w:szCs w:val="21"/>
        </w:rPr>
        <w:t xml:space="preserve">Job loss → 60-day grace period to find new sponsor or leave U.S.</w:t>
      </w:r>
    </w:p>
    <w:p>
      <w:pPr>
        <w:spacing w:after="60" w:before="0"/>
        <w:ind w:left="560"/>
      </w:pPr>
      <w:r>
        <w:rPr>
          <w:i/>
          <w:iCs/>
          <w:color w:val="2a7a2a"/>
          <w:sz w:val="18"/>
          <w:szCs w:val="18"/>
        </w:rPr>
        <w:t xml:space="preserve">✓ USCIS policy</w:t>
      </w:r>
    </w:p>
    <w:p>
      <w:pPr>
        <w:spacing w:after="20" w:before="60"/>
        <w:ind w:left="360" w:hanging="200"/>
      </w:pPr>
      <w:r>
        <w:rPr>
          <w:sz w:val="21"/>
          <w:szCs w:val="21"/>
        </w:rPr>
        <w:t xml:space="preserve">•  </w:t>
      </w:r>
      <w:r>
        <w:rPr>
          <w:b/>
          <w:bCs/>
          <w:sz w:val="21"/>
          <w:szCs w:val="21"/>
        </w:rPr>
        <w:t xml:space="preserve">India EB-2 priority date: ~2013 — meaning 12+ year green card wait</w:t>
      </w:r>
    </w:p>
    <w:p>
      <w:pPr>
        <w:spacing w:after="60" w:before="0"/>
        <w:ind w:left="560"/>
      </w:pPr>
      <w:r>
        <w:rPr>
          <w:i/>
          <w:iCs/>
          <w:color w:val="2a7a2a"/>
          <w:sz w:val="18"/>
          <w:szCs w:val="18"/>
        </w:rPr>
        <w:t xml:space="preserve">✓ Visa Bulletin Feb 2026 — travel.state.gov</w:t>
      </w:r>
    </w:p>
    <w:p>
      <w:pPr>
        <w:spacing w:after="20" w:before="60"/>
        <w:ind w:left="360" w:hanging="200"/>
      </w:pPr>
      <w:r>
        <w:rPr>
          <w:sz w:val="21"/>
          <w:szCs w:val="21"/>
        </w:rPr>
        <w:t xml:space="preserve">•  </w:t>
      </w:r>
      <w:r>
        <w:rPr>
          <w:b/>
          <w:bCs/>
          <w:sz w:val="21"/>
          <w:szCs w:val="21"/>
        </w:rPr>
        <w:t xml:space="preserve">H-1B workers 4x more likely to live in overcrowded housing than U.S. natives</w:t>
      </w:r>
    </w:p>
    <w:p>
      <w:pPr>
        <w:spacing w:after="60" w:before="0"/>
        <w:ind w:left="560"/>
      </w:pPr>
      <w:r>
        <w:rPr>
          <w:i/>
          <w:iCs/>
          <w:color w:val="2a7a2a"/>
          <w:sz w:val="18"/>
          <w:szCs w:val="18"/>
        </w:rPr>
        <w:t xml:space="preserve">✓ CIS Overcrowded Housing Report — cis.org</w:t>
      </w:r>
    </w:p>
    <w:p>
      <w:pPr>
        <w:pStyle w:val="Heading2"/>
        <w:spacing w:after="120" w:before="280"/>
      </w:pPr>
      <w:r>
        <w:rPr>
          <w:b/>
          <w:bCs/>
          <w:color w:val="2c3e6b"/>
          <w:sz w:val="26"/>
          <w:szCs w:val="26"/>
        </w:rPr>
        <w:t xml:space="preserve">Detail Panel Topics (Build Phase 3a)</w:t>
      </w:r>
    </w:p>
    <w:p>
      <w:pPr>
        <w:spacing w:after="40" w:before="40"/>
        <w:ind w:left="360" w:hanging="200"/>
      </w:pPr>
      <w:r>
        <w:rPr>
          <w:sz w:val="21"/>
          <w:szCs w:val="21"/>
        </w:rPr>
        <w:t xml:space="preserve">•  The Law: INA §101(a)(15)(H)(i)(b), LCA requirements, design intent vs. enforcement</w:t>
      </w:r>
    </w:p>
    <w:p>
      <w:pPr>
        <w:spacing w:after="40" w:before="40"/>
        <w:ind w:left="360" w:hanging="200"/>
      </w:pPr>
      <w:r>
        <w:rPr>
          <w:sz w:val="21"/>
          <w:szCs w:val="21"/>
        </w:rPr>
        <w:t xml:space="preserve">•  The Regulatory Scam: LCA self-attestation, rare DOL audits, PERM green card loophole</w:t>
      </w:r>
    </w:p>
    <w:p>
      <w:pPr>
        <w:spacing w:after="40" w:before="40"/>
        <w:ind w:left="360" w:hanging="200"/>
      </w:pPr>
      <w:r>
        <w:rPr>
          <w:sz w:val="21"/>
          <w:szCs w:val="21"/>
        </w:rPr>
        <w:t xml:space="preserve">•  The 72% Figure: Indian national dominance, outsourcing model, diaspora lobbying</w:t>
      </w:r>
    </w:p>
    <w:p>
      <w:pPr>
        <w:spacing w:after="40" w:before="40"/>
        <w:ind w:left="360" w:hanging="200"/>
      </w:pPr>
      <w:r>
        <w:rPr>
          <w:sz w:val="21"/>
          <w:szCs w:val="21"/>
        </w:rPr>
        <w:t xml:space="preserve">•  Stated Intent vs. Documented Reality: EPI wage data, displacement cases</w:t>
      </w:r>
    </w:p>
    <w:p>
      <w:pPr>
        <w:spacing w:after="60" w:before="40"/>
        <w:ind w:left="360"/>
      </w:pPr>
      <w:r>
        <w:rPr>
          <w:i/>
          <w:iCs/>
          <w:color w:val="b87c00"/>
          <w:sz w:val="18"/>
          <w:szCs w:val="18"/>
        </w:rPr>
        <w:t xml:space="preserve">⚑ Pending: H-1B approval trend chart 1990–2026 — USCIS Employer Data Hub historical pull</w:t>
      </w:r>
    </w:p>
    <w:p>
      <w:r>
        <w:br w:type="page"/>
      </w:r>
    </w:p>
    <w:p>
      <w:pPr>
        <w:pStyle w:val="Heading1"/>
        <w:spacing w:after="160" w:before="400"/>
      </w:pPr>
      <w:r>
        <w:rPr>
          <w:b/>
          <w:bCs/>
          <w:color w:val="1a1a2e"/>
          <w:sz w:val="32"/>
          <w:szCs w:val="32"/>
        </w:rPr>
        <w:t xml:space="preserve">SECTION 03b — THE H-2 VISA</w:t>
      </w:r>
    </w:p>
    <w:p>
      <w:pPr>
        <w:pStyle w:val="Heading2"/>
        <w:spacing w:after="120" w:before="280"/>
      </w:pPr>
      <w:r>
        <w:rPr>
          <w:b/>
          <w:bCs/>
          <w:color w:val="2c3e6b"/>
          <w:sz w:val="26"/>
          <w:szCs w:val="26"/>
        </w:rPr>
        <w:t xml:space="preserve">Page Title</w:t>
      </w:r>
    </w:p>
    <w:p>
      <w:pPr>
        <w:spacing w:after="80" w:before="60"/>
      </w:pPr>
      <w:r>
        <w:rPr>
          <w:sz w:val="22"/>
          <w:szCs w:val="22"/>
        </w:rPr>
        <w:t xml:space="preserve">Agricultural &amp; Seasonal Workers: A Different Program, The Same Extraction</w:t>
      </w:r>
    </w:p>
    <w:p>
      <w:pPr>
        <w:pStyle w:val="Heading2"/>
        <w:spacing w:after="120" w:before="280"/>
      </w:pPr>
      <w:r>
        <w:rPr>
          <w:b/>
          <w:bCs/>
          <w:color w:val="2c3e6b"/>
          <w:sz w:val="26"/>
          <w:szCs w:val="26"/>
        </w:rPr>
        <w:t xml:space="preserve">Program Scale — Verified Figures</w:t>
      </w:r>
    </w:p>
    <w:p>
      <w:pPr>
        <w:spacing w:after="20" w:before="60"/>
        <w:ind w:left="360" w:hanging="200"/>
      </w:pPr>
      <w:r>
        <w:rPr>
          <w:sz w:val="21"/>
          <w:szCs w:val="21"/>
        </w:rPr>
        <w:t xml:space="preserve">•  </w:t>
      </w:r>
      <w:r>
        <w:rPr>
          <w:b/>
          <w:bCs/>
          <w:sz w:val="21"/>
          <w:szCs w:val="21"/>
        </w:rPr>
        <w:t xml:space="preserve">H-2A FY2025: 398,258 positions certified — nearly triple mid-2010s levels</w:t>
      </w:r>
    </w:p>
    <w:p>
      <w:pPr>
        <w:spacing w:after="60" w:before="0"/>
        <w:ind w:left="560"/>
      </w:pPr>
      <w:r>
        <w:rPr>
          <w:i/>
          <w:iCs/>
          <w:color w:val="2a7a2a"/>
          <w:sz w:val="18"/>
          <w:szCs w:val="18"/>
        </w:rPr>
        <w:t xml:space="preserve">✓ DOL OFLC FY2025 Q4 Selected Statistics</w:t>
      </w:r>
    </w:p>
    <w:p>
      <w:pPr>
        <w:spacing w:after="20" w:before="60"/>
        <w:ind w:left="360" w:hanging="200"/>
      </w:pPr>
      <w:r>
        <w:rPr>
          <w:sz w:val="21"/>
          <w:szCs w:val="21"/>
        </w:rPr>
        <w:t xml:space="preserve">•  </w:t>
      </w:r>
      <w:r>
        <w:rPr>
          <w:b/>
          <w:bCs/>
          <w:sz w:val="21"/>
          <w:szCs w:val="21"/>
        </w:rPr>
        <w:t xml:space="preserve">H-2A FY2026 Q1: 62,341 positions certified (down ~14% from FY2025 Q1)</w:t>
      </w:r>
    </w:p>
    <w:p>
      <w:pPr>
        <w:spacing w:after="60" w:before="0"/>
        <w:ind w:left="560"/>
      </w:pPr>
      <w:r>
        <w:rPr>
          <w:i/>
          <w:iCs/>
          <w:color w:val="2a7a2a"/>
          <w:sz w:val="18"/>
          <w:szCs w:val="18"/>
        </w:rPr>
        <w:t xml:space="preserve">✓ DOL OFLC H-2A FY2026 Q1 — dol.gov/sites/dolgov/files/ETA/oflc/pdfs/H-2A_Selected_Statistics_FY2026_Q1.pdf</w:t>
      </w:r>
    </w:p>
    <w:p>
      <w:pPr>
        <w:spacing w:after="20" w:before="60"/>
        <w:ind w:left="360" w:hanging="200"/>
      </w:pPr>
      <w:r>
        <w:rPr>
          <w:sz w:val="21"/>
          <w:szCs w:val="21"/>
        </w:rPr>
        <w:t xml:space="preserve">•  </w:t>
      </w:r>
      <w:r>
        <w:rPr>
          <w:b/>
          <w:bCs/>
          <w:sz w:val="21"/>
          <w:szCs w:val="21"/>
        </w:rPr>
        <w:t xml:space="preserve">H-2B FY2026 Q1: ~39k certified; full-year routinely &gt;200k–230k</w:t>
      </w:r>
    </w:p>
    <w:p>
      <w:pPr>
        <w:spacing w:after="60" w:before="0"/>
        <w:ind w:left="560"/>
      </w:pPr>
      <w:r>
        <w:rPr>
          <w:i/>
          <w:iCs/>
          <w:color w:val="2a7a2a"/>
          <w:sz w:val="18"/>
          <w:szCs w:val="18"/>
        </w:rPr>
        <w:t xml:space="preserve">✓ DOL OFLC H-2B FY2026 Q1</w:t>
      </w:r>
    </w:p>
    <w:p>
      <w:pPr>
        <w:spacing w:after="20" w:before="60"/>
        <w:ind w:left="360" w:hanging="200"/>
      </w:pPr>
      <w:r>
        <w:rPr>
          <w:sz w:val="21"/>
          <w:szCs w:val="21"/>
        </w:rPr>
        <w:t xml:space="preserve">•  </w:t>
      </w:r>
      <w:r>
        <w:rPr>
          <w:b/>
          <w:bCs/>
          <w:sz w:val="21"/>
          <w:szCs w:val="21"/>
        </w:rPr>
        <w:t xml:space="preserve">DOL approves ~99% of H-2A applications</w:t>
      </w:r>
    </w:p>
    <w:p>
      <w:pPr>
        <w:spacing w:after="60" w:before="0"/>
        <w:ind w:left="560"/>
      </w:pPr>
      <w:r>
        <w:rPr>
          <w:i/>
          <w:iCs/>
          <w:color w:val="2a7a2a"/>
          <w:sz w:val="18"/>
          <w:szCs w:val="18"/>
        </w:rPr>
        <w:t xml:space="preserve">✓ GAO-25-106389</w:t>
      </w:r>
    </w:p>
    <w:p>
      <w:pPr>
        <w:spacing w:after="20" w:before="60"/>
        <w:ind w:left="360" w:hanging="200"/>
      </w:pPr>
      <w:r>
        <w:rPr>
          <w:sz w:val="21"/>
          <w:szCs w:val="21"/>
        </w:rPr>
        <w:t xml:space="preserve">•  </w:t>
      </w:r>
      <w:r>
        <w:rPr>
          <w:b/>
          <w:bCs/>
          <w:sz w:val="21"/>
          <w:szCs w:val="21"/>
        </w:rPr>
        <w:t xml:space="preserve">Mexico: ~90–92% of H-2A workers; ~62% of H-2B workers</w:t>
      </w:r>
    </w:p>
    <w:p>
      <w:pPr>
        <w:spacing w:after="60" w:before="0"/>
        <w:ind w:left="560"/>
      </w:pPr>
      <w:r>
        <w:rPr>
          <w:i/>
          <w:iCs/>
          <w:color w:val="2a7a2a"/>
          <w:sz w:val="18"/>
          <w:szCs w:val="18"/>
        </w:rPr>
        <w:t xml:space="preserve">✓ DOL OFLC Disclosure Data FY2026 Q1</w:t>
      </w:r>
    </w:p>
    <w:p>
      <w:pPr>
        <w:pStyle w:val="Heading2"/>
        <w:spacing w:after="120" w:before="280"/>
      </w:pPr>
      <w:r>
        <w:rPr>
          <w:b/>
          <w:bCs/>
          <w:color w:val="2c3e6b"/>
          <w:sz w:val="26"/>
          <w:szCs w:val="26"/>
        </w:rPr>
        <w:t xml:space="preserve">FY2025 Top 5 H-2A Sponsors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Rank</w:t>
            </w:r>
          </w:p>
        </w:tc>
        <w:tc>
          <w:tcPr>
            <w:tcW w:type="dxa" w:w="556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Employer</w:t>
            </w:r>
          </w:p>
        </w:tc>
        <w:tc>
          <w:tcPr>
            <w:tcW w:type="dxa" w:w="30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Positions Certified</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NCGA, Inc.</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10,398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Foothill Packing, Inc.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6,959</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3</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Wafla</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4,913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Temp Labor, LLC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4,891</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5</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Fresh Harvest, Inc.</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4,375</w:t>
            </w:r>
          </w:p>
        </w:tc>
      </w:tr>
    </w:tbl>
    <w:p>
      <w:pPr>
        <w:spacing w:after="120" w:before="60"/>
      </w:pPr>
      <w:r>
        <w:rPr>
          <w:i/>
          <w:iCs/>
          <w:color w:val="2a7a2a"/>
          <w:sz w:val="18"/>
          <w:szCs w:val="18"/>
        </w:rPr>
        <w:t xml:space="preserve">✓ Source: DOL OFLC H-2A Selected Statistics FY2025 Q4</w:t>
      </w:r>
    </w:p>
    <w:p>
      <w:pPr>
        <w:pStyle w:val="Heading2"/>
        <w:spacing w:after="120" w:before="280"/>
      </w:pPr>
      <w:r>
        <w:rPr>
          <w:b/>
          <w:bCs/>
          <w:color w:val="2c3e6b"/>
          <w:sz w:val="26"/>
          <w:szCs w:val="26"/>
        </w:rPr>
        <w:t xml:space="preserve">FY2025 Top 5 H-2B Sponsors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000"/>
        <w:gridCol w:w="2760"/>
      </w:tblGrid>
      <w:tr>
        <w:tc>
          <w:tcPr>
            <w:tcW w:type="dxa" w:w="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Rank</w:t>
            </w:r>
          </w:p>
        </w:tc>
        <w:tc>
          <w:tcPr>
            <w:tcW w:type="dxa" w:w="38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Employer</w:t>
            </w:r>
          </w:p>
        </w:tc>
        <w:tc>
          <w:tcPr>
            <w:tcW w:type="dxa" w:w="20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Positions Certified</w:t>
            </w:r>
          </w:p>
        </w:tc>
        <w:tc>
          <w:tcPr>
            <w:tcW w:type="dxa" w:w="276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b/>
                <w:bCs/>
                <w:color w:val="FFFFFF"/>
                <w:sz w:val="19"/>
                <w:szCs w:val="19"/>
              </w:rPr>
              <w:t xml:space="preserve">Sector</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ABC Professional Tree Services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2,103</w:t>
            </w:r>
          </w:p>
        </w:tc>
        <w:tc>
          <w:tcPr>
            <w:tcW w:type="dxa" w:w="2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Landscaping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Progressive Solutions LLC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2,073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Seasonal Services</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3</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Genuine Builders, Inc.</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1,899</w:t>
            </w:r>
          </w:p>
        </w:tc>
        <w:tc>
          <w:tcPr>
            <w:tcW w:type="dxa" w:w="2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Construction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Landscape Workshop LLC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1,840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Landscaping</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5</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Vivint, LLC</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1,262</w:t>
            </w:r>
          </w:p>
        </w:tc>
        <w:tc>
          <w:tcPr>
            <w:tcW w:type="dxa" w:w="2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19"/>
                <w:szCs w:val="19"/>
              </w:rPr>
              <w:t xml:space="preserve">Home Services</w:t>
            </w:r>
          </w:p>
        </w:tc>
      </w:tr>
    </w:tbl>
    <w:p>
      <w:pPr>
        <w:spacing w:after="120" w:before="60"/>
      </w:pPr>
      <w:r>
        <w:rPr>
          <w:i/>
          <w:iCs/>
          <w:color w:val="2a7a2a"/>
          <w:sz w:val="18"/>
          <w:szCs w:val="18"/>
        </w:rPr>
        <w:t xml:space="preserve">✓ Source: DOL OFLC H-2B Selected Statistics FY2025 Q4</w:t>
      </w:r>
    </w:p>
    <w:p>
      <w:pPr>
        <w:pStyle w:val="Heading2"/>
        <w:spacing w:after="120" w:before="280"/>
      </w:pPr>
      <w:r>
        <w:rPr>
          <w:b/>
          <w:bCs/>
          <w:color w:val="2c3e6b"/>
          <w:sz w:val="26"/>
          <w:szCs w:val="26"/>
        </w:rPr>
        <w:t xml:space="preserve">Wage &amp; Deduction Reality — Verified</w:t>
      </w:r>
    </w:p>
    <w:p>
      <w:pPr>
        <w:spacing w:after="20" w:before="60"/>
        <w:ind w:left="360" w:hanging="200"/>
      </w:pPr>
      <w:r>
        <w:rPr>
          <w:sz w:val="21"/>
          <w:szCs w:val="21"/>
        </w:rPr>
        <w:t xml:space="preserve">•  </w:t>
      </w:r>
      <w:r>
        <w:rPr>
          <w:b/>
          <w:bCs/>
          <w:sz w:val="21"/>
          <w:szCs w:val="21"/>
        </w:rPr>
        <w:t xml:space="preserve">AEWR gross: often $12–$16/hr before deductions</w:t>
      </w:r>
    </w:p>
    <w:p>
      <w:pPr>
        <w:spacing w:after="60" w:before="0"/>
        <w:ind w:left="560"/>
      </w:pPr>
      <w:r>
        <w:rPr>
          <w:i/>
          <w:iCs/>
          <w:color w:val="2a7a2a"/>
          <w:sz w:val="18"/>
          <w:szCs w:val="18"/>
        </w:rPr>
        <w:t xml:space="preserve">✓ DOL AEWR tables 2025/2026 — flag.dol.gov/wage-data/adverse-effect-wage-rates</w:t>
      </w:r>
    </w:p>
    <w:p>
      <w:pPr>
        <w:spacing w:after="20" w:before="60"/>
        <w:ind w:left="360" w:hanging="200"/>
      </w:pPr>
      <w:r>
        <w:rPr>
          <w:sz w:val="21"/>
          <w:szCs w:val="21"/>
        </w:rPr>
        <w:t xml:space="preserve">•  </w:t>
      </w:r>
      <w:r>
        <w:rPr>
          <w:b/>
          <w:bCs/>
          <w:sz w:val="21"/>
          <w:szCs w:val="21"/>
        </w:rPr>
        <w:t xml:space="preserve">Meal deduction: up to $16.78/day (2026 max)</w:t>
      </w:r>
    </w:p>
    <w:p>
      <w:pPr>
        <w:spacing w:after="60" w:before="0"/>
        <w:ind w:left="560"/>
      </w:pPr>
      <w:r>
        <w:rPr>
          <w:i/>
          <w:iCs/>
          <w:color w:val="2a7a2a"/>
          <w:sz w:val="18"/>
          <w:szCs w:val="18"/>
        </w:rPr>
        <w:t xml:space="preserve">✓ DOL AEWR 2026 IFR</w:t>
      </w:r>
    </w:p>
    <w:p>
      <w:pPr>
        <w:spacing w:after="20" w:before="60"/>
        <w:ind w:left="360" w:hanging="200"/>
      </w:pPr>
      <w:r>
        <w:rPr>
          <w:sz w:val="21"/>
          <w:szCs w:val="21"/>
        </w:rPr>
        <w:t xml:space="preserve">•  </w:t>
      </w:r>
      <w:r>
        <w:rPr>
          <w:b/>
          <w:bCs/>
          <w:sz w:val="21"/>
          <w:szCs w:val="21"/>
        </w:rPr>
        <w:t xml:space="preserve">Housing adjustment (new 2025 IFR): employers can deduct up to 30% of AEWR</w:t>
      </w:r>
    </w:p>
    <w:p>
      <w:pPr>
        <w:spacing w:after="60" w:before="0"/>
        <w:ind w:left="560"/>
      </w:pPr>
      <w:r>
        <w:rPr>
          <w:i/>
          <w:iCs/>
          <w:color w:val="2a7a2a"/>
          <w:sz w:val="18"/>
          <w:szCs w:val="18"/>
        </w:rPr>
        <w:t xml:space="preserve">✓ Federal Register Oct 2025 IFR</w:t>
      </w:r>
    </w:p>
    <w:p>
      <w:pPr>
        <w:spacing w:after="20" w:before="60"/>
        <w:ind w:left="360" w:hanging="200"/>
      </w:pPr>
      <w:r>
        <w:rPr>
          <w:sz w:val="21"/>
          <w:szCs w:val="21"/>
        </w:rPr>
        <w:t xml:space="preserve">•  </w:t>
      </w:r>
      <w:r>
        <w:rPr>
          <w:b/>
          <w:bCs/>
          <w:sz w:val="21"/>
          <w:szCs w:val="21"/>
        </w:rPr>
        <w:t xml:space="preserve">Illegal recruiter fees: $1,000–$9,000+ upfront, loans at up to 20%/month interest</w:t>
      </w:r>
    </w:p>
    <w:p>
      <w:pPr>
        <w:spacing w:after="60" w:before="0"/>
        <w:ind w:left="560"/>
      </w:pPr>
      <w:r>
        <w:rPr>
          <w:i/>
          <w:iCs/>
          <w:color w:val="2a7a2a"/>
          <w:sz w:val="18"/>
          <w:szCs w:val="18"/>
        </w:rPr>
        <w:t xml:space="preserve">✓ ProPublica 2025–2026; Polaris Project Report</w:t>
      </w:r>
    </w:p>
    <w:p>
      <w:pPr>
        <w:spacing w:after="20" w:before="60"/>
        <w:ind w:left="360" w:hanging="200"/>
      </w:pPr>
      <w:r>
        <w:rPr>
          <w:sz w:val="21"/>
          <w:szCs w:val="21"/>
        </w:rPr>
        <w:t xml:space="preserve">•  </w:t>
      </w:r>
      <w:r>
        <w:rPr>
          <w:b/>
          <w:bCs/>
          <w:sz w:val="21"/>
          <w:szCs w:val="21"/>
        </w:rPr>
        <w:t xml:space="preserve">EPI: 2026 IFR wage cuts transfer $1.7–$2.1 billion from H-2A workers to employers in one year</w:t>
      </w:r>
    </w:p>
    <w:p>
      <w:pPr>
        <w:spacing w:after="60" w:before="0"/>
        <w:ind w:left="560"/>
      </w:pPr>
      <w:r>
        <w:rPr>
          <w:i/>
          <w:iCs/>
          <w:color w:val="2a7a2a"/>
          <w:sz w:val="18"/>
          <w:szCs w:val="18"/>
        </w:rPr>
        <w:t xml:space="preserve">✓ EPI Nov 2025 — epi.org/blog/trumps-new-h-2a-wage-rule...</w:t>
      </w:r>
    </w:p>
    <w:p>
      <w:pPr>
        <w:pStyle w:val="Heading2"/>
        <w:spacing w:after="120" w:before="280"/>
      </w:pPr>
      <w:r>
        <w:rPr>
          <w:b/>
          <w:bCs/>
          <w:color w:val="2c3e6b"/>
          <w:sz w:val="26"/>
          <w:szCs w:val="26"/>
        </w:rPr>
        <w:t xml:space="preserve">Abuse &amp; Enforcement — Verified</w:t>
      </w:r>
    </w:p>
    <w:p>
      <w:pPr>
        <w:spacing w:after="20" w:before="60"/>
        <w:ind w:left="360" w:hanging="200"/>
      </w:pPr>
      <w:r>
        <w:rPr>
          <w:sz w:val="21"/>
          <w:szCs w:val="21"/>
        </w:rPr>
        <w:t xml:space="preserve">•  </w:t>
      </w:r>
      <w:r>
        <w:rPr>
          <w:b/>
          <w:bCs/>
          <w:sz w:val="21"/>
          <w:szCs w:val="21"/>
        </w:rPr>
        <w:t xml:space="preserve">84% of H-2A jobs require lifting, extreme temperatures, and repetitive movements</w:t>
      </w:r>
    </w:p>
    <w:p>
      <w:pPr>
        <w:spacing w:after="60" w:before="0"/>
        <w:ind w:left="560"/>
      </w:pPr>
      <w:r>
        <w:rPr>
          <w:i/>
          <w:iCs/>
          <w:color w:val="2a7a2a"/>
          <w:sz w:val="18"/>
          <w:szCs w:val="18"/>
        </w:rPr>
        <w:t xml:space="preserve">✓ GAO-25-106389</w:t>
      </w:r>
    </w:p>
    <w:p>
      <w:pPr>
        <w:spacing w:after="20" w:before="60"/>
        <w:ind w:left="360" w:hanging="200"/>
      </w:pPr>
      <w:r>
        <w:rPr>
          <w:sz w:val="21"/>
          <w:szCs w:val="21"/>
        </w:rPr>
        <w:t xml:space="preserve">•  </w:t>
      </w:r>
      <w:r>
        <w:rPr>
          <w:b/>
          <w:bCs/>
          <w:sz w:val="21"/>
          <w:szCs w:val="21"/>
        </w:rPr>
        <w:t xml:space="preserve">H-2A violations account for 54% of all agricultural back-wage assessments FY2018–2023</w:t>
      </w:r>
    </w:p>
    <w:p>
      <w:pPr>
        <w:spacing w:after="60" w:before="0"/>
        <w:ind w:left="560"/>
      </w:pPr>
      <w:r>
        <w:rPr>
          <w:i/>
          <w:iCs/>
          <w:color w:val="2a7a2a"/>
          <w:sz w:val="18"/>
          <w:szCs w:val="18"/>
        </w:rPr>
        <w:t xml:space="preserve">✓ GAO-25-106389 / EPI</w:t>
      </w:r>
    </w:p>
    <w:p>
      <w:pPr>
        <w:spacing w:after="20" w:before="60"/>
        <w:ind w:left="360" w:hanging="200"/>
      </w:pPr>
      <w:r>
        <w:rPr>
          <w:sz w:val="21"/>
          <w:szCs w:val="21"/>
        </w:rPr>
        <w:t xml:space="preserve">•  </w:t>
      </w:r>
      <w:r>
        <w:rPr>
          <w:b/>
          <w:bCs/>
          <w:sz w:val="21"/>
          <w:szCs w:val="21"/>
        </w:rPr>
        <w:t xml:space="preserve">DOL/WHD investigations: only 649 ag investigations in latest data, down &gt;50% from a decade ago</w:t>
      </w:r>
    </w:p>
    <w:p>
      <w:pPr>
        <w:spacing w:after="60" w:before="0"/>
        <w:ind w:left="560"/>
      </w:pPr>
      <w:r>
        <w:rPr>
          <w:i/>
          <w:iCs/>
          <w:color w:val="2a7a2a"/>
          <w:sz w:val="18"/>
          <w:szCs w:val="18"/>
        </w:rPr>
        <w:t xml:space="preserve">✓ ProPublica Feb 2026</w:t>
      </w:r>
    </w:p>
    <w:p>
      <w:pPr>
        <w:spacing w:after="20" w:before="60"/>
        <w:ind w:left="360" w:hanging="200"/>
      </w:pPr>
      <w:r>
        <w:rPr>
          <w:sz w:val="21"/>
          <w:szCs w:val="21"/>
        </w:rPr>
        <w:t xml:space="preserve">•  </w:t>
      </w:r>
      <w:r>
        <w:rPr>
          <w:b/>
          <w:bCs/>
          <w:sz w:val="21"/>
          <w:szCs w:val="21"/>
        </w:rPr>
        <w:t xml:space="preserve">Lucky Growers Inc. (CA, Dec 2025): charged rent for pest-infested housing — DOL recovered $171,400 back wages + $76,274 penalties</w:t>
      </w:r>
    </w:p>
    <w:p>
      <w:pPr>
        <w:spacing w:after="60" w:before="0"/>
        <w:ind w:left="560"/>
      </w:pPr>
      <w:r>
        <w:rPr>
          <w:i/>
          <w:iCs/>
          <w:color w:val="2a7a2a"/>
          <w:sz w:val="18"/>
          <w:szCs w:val="18"/>
        </w:rPr>
        <w:t xml:space="preserve">✓ WHD Release 25-1366-SAN</w:t>
      </w:r>
    </w:p>
    <w:p>
      <w:pPr>
        <w:spacing w:after="20" w:before="60"/>
        <w:ind w:left="360" w:hanging="200"/>
      </w:pPr>
      <w:r>
        <w:rPr>
          <w:sz w:val="21"/>
          <w:szCs w:val="21"/>
        </w:rPr>
        <w:t xml:space="preserve">•  </w:t>
      </w:r>
      <w:r>
        <w:rPr>
          <w:b/>
          <w:bCs/>
          <w:sz w:val="21"/>
          <w:szCs w:val="21"/>
        </w:rPr>
        <w:t xml:space="preserve">Operation Blooming Onion (Georgia, ongoing 2025–2026): forced labor, violence, sexual assault, deaths — prosecutors called it modern-day slavery; contractors profited $200M+</w:t>
      </w:r>
    </w:p>
    <w:p>
      <w:pPr>
        <w:spacing w:after="60" w:before="0"/>
        <w:ind w:left="560"/>
      </w:pPr>
      <w:r>
        <w:rPr>
          <w:i/>
          <w:iCs/>
          <w:color w:val="2a7a2a"/>
          <w:sz w:val="18"/>
          <w:szCs w:val="18"/>
        </w:rPr>
        <w:t xml:space="preserve">✓ DOJ / ProPublica 2025–2026</w:t>
      </w:r>
    </w:p>
    <w:p>
      <w:pPr>
        <w:spacing w:after="20" w:before="60"/>
        <w:ind w:left="360" w:hanging="200"/>
      </w:pPr>
      <w:r>
        <w:rPr>
          <w:sz w:val="21"/>
          <w:szCs w:val="21"/>
        </w:rPr>
        <w:t xml:space="preserve">•  </w:t>
      </w:r>
      <w:r>
        <w:rPr>
          <w:b/>
          <w:bCs/>
          <w:sz w:val="21"/>
          <w:szCs w:val="21"/>
        </w:rPr>
        <w:t xml:space="preserve">2024 Farmworker Protection Rule suspended June 2025; proposed rescission July 2025</w:t>
      </w:r>
    </w:p>
    <w:p>
      <w:pPr>
        <w:spacing w:after="60" w:before="0"/>
        <w:ind w:left="560"/>
      </w:pPr>
      <w:r>
        <w:rPr>
          <w:i/>
          <w:iCs/>
          <w:color w:val="2a7a2a"/>
          <w:sz w:val="18"/>
          <w:szCs w:val="18"/>
        </w:rPr>
        <w:t xml:space="preserve">✓ DOL Field Assistance Bulletin 2025-2 — dol.gov/sites/dolgov/files/WHD/fab/fab2025-2.pdf</w:t>
      </w:r>
    </w:p>
    <w:p>
      <w:pPr>
        <w:pStyle w:val="Heading2"/>
        <w:spacing w:after="120" w:before="280"/>
      </w:pPr>
      <w:r>
        <w:rPr>
          <w:b/>
          <w:bCs/>
          <w:color w:val="2c3e6b"/>
          <w:sz w:val="26"/>
          <w:szCs w:val="26"/>
        </w:rPr>
        <w:t xml:space="preserve">Detail Panel Topics (Build Phase 3b)</w:t>
      </w:r>
    </w:p>
    <w:p>
      <w:pPr>
        <w:spacing w:after="40" w:before="40"/>
        <w:ind w:left="360" w:hanging="200"/>
      </w:pPr>
      <w:r>
        <w:rPr>
          <w:sz w:val="21"/>
          <w:szCs w:val="21"/>
        </w:rPr>
        <w:t xml:space="preserve">•  The Law: INA §101(a)(15)(H)(ii)(a) and (b), separate certification processes</w:t>
      </w:r>
    </w:p>
    <w:p>
      <w:pPr>
        <w:spacing w:after="40" w:before="40"/>
        <w:ind w:left="360" w:hanging="200"/>
      </w:pPr>
      <w:r>
        <w:rPr>
          <w:sz w:val="21"/>
          <w:szCs w:val="21"/>
        </w:rPr>
        <w:t xml:space="preserve">•  The H-2 Certification Loophole: DOL certifies on self-attestation; ad placement discretion</w:t>
      </w:r>
    </w:p>
    <w:p>
      <w:pPr>
        <w:spacing w:after="40" w:before="40"/>
        <w:ind w:left="360" w:hanging="200"/>
      </w:pPr>
      <w:r>
        <w:rPr>
          <w:sz w:val="21"/>
          <w:szCs w:val="21"/>
        </w:rPr>
        <w:t xml:space="preserve">•  Physical Labor, Minimal Oversight: housing standards vs. documented reality</w:t>
      </w:r>
    </w:p>
    <w:p>
      <w:pPr>
        <w:spacing w:after="40" w:before="40"/>
        <w:ind w:left="360" w:hanging="200"/>
      </w:pPr>
      <w:r>
        <w:rPr>
          <w:sz w:val="21"/>
          <w:szCs w:val="21"/>
        </w:rPr>
        <w:t xml:space="preserve">•  Impact on American Agricultural and Seasonal Workers: wage floor collapse</w:t>
      </w:r>
    </w:p>
    <w:p>
      <w:r>
        <w:br w:type="page"/>
      </w:r>
    </w:p>
    <w:p>
      <w:pPr>
        <w:pStyle w:val="Heading1"/>
        <w:spacing w:after="160" w:before="400"/>
      </w:pPr>
      <w:r>
        <w:rPr>
          <w:b/>
          <w:bCs/>
          <w:color w:val="1a1a2e"/>
          <w:sz w:val="32"/>
          <w:szCs w:val="32"/>
        </w:rPr>
        <w:t xml:space="preserve">SECTION 04 — THE CORPORATE LAYER</w:t>
      </w:r>
    </w:p>
    <w:p>
      <w:pPr>
        <w:pStyle w:val="Heading2"/>
        <w:spacing w:after="120" w:before="280"/>
      </w:pPr>
      <w:r>
        <w:rPr>
          <w:b/>
          <w:bCs/>
          <w:color w:val="2c3e6b"/>
          <w:sz w:val="26"/>
          <w:szCs w:val="26"/>
        </w:rPr>
        <w:t xml:space="preserve">Status</w:t>
      </w:r>
    </w:p>
    <w:p>
      <w:pPr>
        <w:spacing w:after="80" w:before="60"/>
      </w:pPr>
      <w:r>
        <w:rPr>
          <w:sz w:val="22"/>
          <w:szCs w:val="22"/>
        </w:rPr>
        <w:t xml:space="preserve">Placeholder tables with FY2025 H-1B data populated. Full Phase 4 research pending.</w:t>
      </w:r>
    </w:p>
    <w:p>
      <w:pPr>
        <w:pStyle w:val="Heading2"/>
        <w:spacing w:after="120" w:before="280"/>
      </w:pPr>
      <w:r>
        <w:rPr>
          <w:b/>
          <w:bCs/>
          <w:color w:val="2c3e6b"/>
          <w:sz w:val="26"/>
          <w:szCs w:val="26"/>
        </w:rPr>
        <w:t xml:space="preserve">Asset-Manager Tie-In Flags (from Phase 3 Research)</w:t>
      </w:r>
    </w:p>
    <w:p>
      <w:pPr>
        <w:spacing w:after="80" w:before="60"/>
      </w:pPr>
      <w:r>
        <w:rPr>
          <w:sz w:val="22"/>
          <w:szCs w:val="22"/>
        </w:rPr>
        <w:t xml:space="preserve">Both H-1B and H-2 research briefs end with explicit connector notes for this section:</w:t>
      </w:r>
    </w:p>
    <w:p>
      <w:pPr>
        <w:spacing w:after="40" w:before="40"/>
        <w:ind w:left="360" w:hanging="200"/>
      </w:pPr>
      <w:r>
        <w:rPr>
          <w:sz w:val="21"/>
          <w:szCs w:val="21"/>
        </w:rPr>
        <w:t xml:space="preserve">•  Top H-1B sponsors (Amazon, Meta, Microsoft, Google) → Vanguard/BlackRock/State Street ownership stakes</w:t>
      </w:r>
    </w:p>
    <w:p>
      <w:pPr>
        <w:spacing w:after="40" w:before="40"/>
        <w:ind w:left="360" w:hanging="200"/>
      </w:pPr>
      <w:r>
        <w:rPr>
          <w:sz w:val="21"/>
          <w:szCs w:val="21"/>
        </w:rPr>
        <w:t xml:space="preserve">•  Top H-2 sponsors (NCGA Inc., Foothill Packing, etc.) → PE intermediaries → Big Three index fund holdings (KKR, Blackstone)</w:t>
      </w:r>
    </w:p>
    <w:p>
      <w:pPr>
        <w:spacing w:after="40" w:before="40"/>
        <w:ind w:left="360" w:hanging="200"/>
      </w:pPr>
      <w:r>
        <w:rPr>
          <w:sz w:val="21"/>
          <w:szCs w:val="21"/>
        </w:rPr>
        <w:t xml:space="preserve">•  This is the phase that closes the loop between visa programs and retirement account funding</w:t>
      </w:r>
    </w:p>
    <w:p>
      <w:pPr>
        <w:pStyle w:val="Heading2"/>
        <w:spacing w:after="120" w:before="280"/>
      </w:pPr>
      <w:r>
        <w:rPr>
          <w:b/>
          <w:bCs/>
          <w:color w:val="2c3e6b"/>
          <w:sz w:val="26"/>
          <w:szCs w:val="26"/>
        </w:rPr>
        <w:t xml:space="preserve">Per-Company Research Needed (Phase 4)</w:t>
      </w:r>
    </w:p>
    <w:p>
      <w:pPr>
        <w:spacing w:after="40" w:before="40"/>
        <w:ind w:left="360" w:hanging="200"/>
      </w:pPr>
      <w:r>
        <w:rPr>
          <w:sz w:val="21"/>
          <w:szCs w:val="21"/>
        </w:rPr>
        <w:t xml:space="preserve">•  4a: Visa count and year-over-year trend — USCIS Employer Data Hub</w:t>
      </w:r>
    </w:p>
    <w:p>
      <w:pPr>
        <w:spacing w:after="40" w:before="40"/>
        <w:ind w:left="360" w:hanging="200"/>
      </w:pPr>
      <w:r>
        <w:rPr>
          <w:sz w:val="21"/>
          <w:szCs w:val="21"/>
        </w:rPr>
        <w:t xml:space="preserve">•  4b: Estimated labor cost savings — EPI prevailing wage methodology</w:t>
      </w:r>
    </w:p>
    <w:p>
      <w:pPr>
        <w:spacing w:after="40" w:before="40"/>
        <w:ind w:left="360" w:hanging="200"/>
      </w:pPr>
      <w:r>
        <w:rPr>
          <w:sz w:val="21"/>
          <w:szCs w:val="21"/>
        </w:rPr>
        <w:t xml:space="preserve">•  4c: Ultimate ownership chain — Company → Parent → Institutional Holder → Asset Manager</w:t>
      </w:r>
    </w:p>
    <w:p>
      <w:pPr>
        <w:spacing w:after="40" w:before="40"/>
        <w:ind w:left="360" w:hanging="200"/>
      </w:pPr>
      <w:r>
        <w:rPr>
          <w:sz w:val="21"/>
          <w:szCs w:val="21"/>
        </w:rPr>
        <w:t xml:space="preserve">•  4d: Federal contract receipts — USASpending.gov</w:t>
      </w:r>
    </w:p>
    <w:p>
      <w:pPr>
        <w:spacing w:after="40" w:before="40"/>
        <w:ind w:left="360" w:hanging="200"/>
      </w:pPr>
      <w:r>
        <w:rPr>
          <w:sz w:val="21"/>
          <w:szCs w:val="21"/>
        </w:rPr>
        <w:t xml:space="preserve">•  4e: Lobbying expenditures — OpenSecrets</w:t>
      </w:r>
    </w:p>
    <w:p>
      <w:pPr>
        <w:spacing w:after="40" w:before="40"/>
        <w:ind w:left="360" w:hanging="200"/>
      </w:pPr>
      <w:r>
        <w:rPr>
          <w:sz w:val="21"/>
          <w:szCs w:val="21"/>
        </w:rPr>
        <w:t xml:space="preserve">•  4f/4g: PAC contributions + layoff juxtaposition — FEC + WARN/8-K filings</w:t>
      </w:r>
    </w:p>
    <w:p>
      <w:pPr>
        <w:spacing w:after="60" w:before="40"/>
        <w:ind w:left="360"/>
      </w:pPr>
      <w:r>
        <w:rPr>
          <w:i/>
          <w:iCs/>
          <w:color w:val="b87c00"/>
          <w:sz w:val="18"/>
          <w:szCs w:val="18"/>
        </w:rPr>
        <w:t xml:space="preserve">⚑ Pending: USASpending.gov per-company contract data</w:t>
      </w:r>
    </w:p>
    <w:p>
      <w:pPr>
        <w:spacing w:after="60" w:before="40"/>
        <w:ind w:left="360"/>
      </w:pPr>
      <w:r>
        <w:rPr>
          <w:i/>
          <w:iCs/>
          <w:color w:val="b87c00"/>
          <w:sz w:val="18"/>
          <w:szCs w:val="18"/>
        </w:rPr>
        <w:t xml:space="preserve">⚑ Pending: OpenSecrets lobbying per company</w:t>
      </w:r>
    </w:p>
    <w:p>
      <w:pPr>
        <w:spacing w:after="60" w:before="40"/>
        <w:ind w:left="360"/>
      </w:pPr>
      <w:r>
        <w:rPr>
          <w:i/>
          <w:iCs/>
          <w:color w:val="b87c00"/>
          <w:sz w:val="18"/>
          <w:szCs w:val="18"/>
        </w:rPr>
        <w:t xml:space="preserve">⚑ Pending: FEC PAC contribution data</w:t>
      </w:r>
    </w:p>
    <w:p>
      <w:pPr>
        <w:spacing w:after="60" w:before="40"/>
        <w:ind w:left="360"/>
      </w:pPr>
      <w:r>
        <w:rPr>
          <w:i/>
          <w:iCs/>
          <w:color w:val="b87c00"/>
          <w:sz w:val="18"/>
          <w:szCs w:val="18"/>
        </w:rPr>
        <w:t xml:space="preserve">⚑ Pending: EPI wage savings calculations per employer</w:t>
      </w:r>
    </w:p>
    <w:p>
      <w:pPr>
        <w:spacing w:after="60" w:before="40"/>
        <w:ind w:left="360"/>
      </w:pPr>
      <w:r>
        <w:rPr>
          <w:i/>
          <w:iCs/>
          <w:color w:val="b87c00"/>
          <w:sz w:val="18"/>
          <w:szCs w:val="18"/>
        </w:rPr>
        <w:t xml:space="preserve">⚑ Pending: Documented layoff records by company and year</w:t>
      </w:r>
    </w:p>
    <w:p>
      <w:r>
        <w:br w:type="page"/>
      </w:r>
    </w:p>
    <w:p>
      <w:pPr>
        <w:pStyle w:val="Heading1"/>
        <w:spacing w:after="160" w:before="400"/>
      </w:pPr>
      <w:r>
        <w:rPr>
          <w:b/>
          <w:bCs/>
          <w:color w:val="1a1a2e"/>
          <w:sz w:val="32"/>
          <w:szCs w:val="32"/>
        </w:rPr>
        <w:t xml:space="preserve">SECTION 05 — DICHOTOMY OF TRUTH</w:t>
      </w:r>
    </w:p>
    <w:p>
      <w:pPr>
        <w:spacing w:after="120" w:before="60"/>
      </w:pPr>
      <w:r>
        <w:rPr>
          <w:i/>
          <w:iCs/>
          <w:color w:val="444466"/>
          <w:sz w:val="21"/>
          <w:szCs w:val="21"/>
        </w:rPr>
        <w:t xml:space="preserve">Renamed from “Dichotomy of Extraction.” New framing: Americans are arguing about the wrong thing. Both panels — worker and American — present documented reality without editorializing. The evidence itself is persuasive to both left and right audiences.</w:t>
      </w:r>
    </w:p>
    <w:p>
      <w:pPr>
        <w:pStyle w:val="Heading2"/>
        <w:spacing w:after="120" w:before="280"/>
      </w:pPr>
      <w:r>
        <w:rPr>
          <w:b/>
          <w:bCs/>
          <w:color w:val="2c3e6b"/>
          <w:sz w:val="26"/>
          <w:szCs w:val="26"/>
        </w:rPr>
        <w:t xml:space="preserve">Layout</w:t>
      </w:r>
    </w:p>
    <w:p>
      <w:pPr>
        <w:spacing w:after="80" w:before="60"/>
      </w:pPr>
      <w:r>
        <w:rPr>
          <w:sz w:val="22"/>
          <w:szCs w:val="22"/>
        </w:rPr>
        <w:t xml:space="preserve">Two-column full-page layout. Worker experience left, Effects on Americans right. Both columns use vertical panel stack. H-1B and H-2 dichotomies are SEPARATE — not merged. Accessed via chain node clicks labeled “Who Are the Workers?” and “What Is the True Effect on Americans?”</w:t>
      </w:r>
    </w:p>
    <w:p>
      <w:pPr>
        <w:pBdr>
          <w:bottom w:val="single" w:color="ccccdd" w:sz="4" w:space="1"/>
        </w:pBdr>
        <w:spacing w:after="160" w:before="160"/>
      </w:pPr>
    </w:p>
    <w:p>
      <w:pPr>
        <w:pStyle w:val="Heading2"/>
        <w:spacing w:after="120" w:before="280"/>
      </w:pPr>
      <w:r>
        <w:rPr>
          <w:b/>
          <w:bCs/>
          <w:color w:val="8B0000"/>
          <w:sz w:val="26"/>
          <w:szCs w:val="26"/>
        </w:rPr>
        <w:t xml:space="preserve">H-1B DICHOTOMY OF TRUTH</w:t>
      </w:r>
    </w:p>
    <w:p>
      <w:pPr>
        <w:pStyle w:val="Heading3"/>
        <w:spacing w:after="80" w:before="200"/>
      </w:pPr>
      <w:r>
        <w:rPr>
          <w:b/>
          <w:bCs/>
          <w:color w:val="444466"/>
          <w:sz w:val="22"/>
          <w:szCs w:val="22"/>
        </w:rPr>
        <w:t xml:space="preserve">LEFT PANEL — Who Are the H-1B Workers?</w:t>
      </w:r>
    </w:p>
    <w:p>
      <w:pPr>
        <w:spacing w:after="20" w:before="60"/>
        <w:ind w:left="360" w:hanging="200"/>
      </w:pPr>
      <w:r>
        <w:rPr>
          <w:sz w:val="21"/>
          <w:szCs w:val="21"/>
        </w:rPr>
        <w:t xml:space="preserve">•  </w:t>
      </w:r>
      <w:r>
        <w:rPr>
          <w:b/>
          <w:bCs/>
          <w:sz w:val="21"/>
          <w:szCs w:val="21"/>
        </w:rPr>
        <w:t xml:space="preserve">Visa tether: one employer controls immigration status; job loss triggers 60-day clock to find new sponsor or leave</w:t>
      </w:r>
    </w:p>
    <w:p>
      <w:pPr>
        <w:spacing w:after="60" w:before="0"/>
        <w:ind w:left="560"/>
      </w:pPr>
      <w:r>
        <w:rPr>
          <w:i/>
          <w:iCs/>
          <w:color w:val="2a7a2a"/>
          <w:sz w:val="18"/>
          <w:szCs w:val="18"/>
        </w:rPr>
        <w:t xml:space="preserve">✓ USCIS policy</w:t>
      </w:r>
    </w:p>
    <w:p>
      <w:pPr>
        <w:spacing w:after="20" w:before="60"/>
        <w:ind w:left="360" w:hanging="200"/>
      </w:pPr>
      <w:r>
        <w:rPr>
          <w:sz w:val="21"/>
          <w:szCs w:val="21"/>
        </w:rPr>
        <w:t xml:space="preserve">•  </w:t>
      </w:r>
      <w:r>
        <w:rPr>
          <w:b/>
          <w:bCs/>
          <w:sz w:val="21"/>
          <w:szCs w:val="21"/>
        </w:rPr>
        <w:t xml:space="preserve">16% wage gap vs. comparable U.S. workers; up to 35% at outsourcing firms</w:t>
      </w:r>
    </w:p>
    <w:p>
      <w:pPr>
        <w:spacing w:after="60" w:before="0"/>
        <w:ind w:left="560"/>
      </w:pPr>
      <w:r>
        <w:rPr>
          <w:i/>
          <w:iCs/>
          <w:color w:val="2a7a2a"/>
          <w:sz w:val="18"/>
          <w:szCs w:val="18"/>
        </w:rPr>
        <w:t xml:space="preserve">✓ NBER Working Paper w34793, Feb 2026</w:t>
      </w:r>
    </w:p>
    <w:p>
      <w:pPr>
        <w:spacing w:after="20" w:before="60"/>
        <w:ind w:left="360" w:hanging="200"/>
      </w:pPr>
      <w:r>
        <w:rPr>
          <w:sz w:val="21"/>
          <w:szCs w:val="21"/>
        </w:rPr>
        <w:t xml:space="preserve">•  </w:t>
      </w:r>
      <w:r>
        <w:rPr>
          <w:b/>
          <w:bCs/>
          <w:sz w:val="21"/>
          <w:szCs w:val="21"/>
        </w:rPr>
        <w:t xml:space="preserve">Bench time: non-billable periods = reduced or no pay while tied to sponsor</w:t>
      </w:r>
    </w:p>
    <w:p>
      <w:pPr>
        <w:spacing w:after="60" w:before="0"/>
        <w:ind w:left="560"/>
      </w:pPr>
      <w:r>
        <w:rPr>
          <w:i/>
          <w:iCs/>
          <w:color w:val="2a7a2a"/>
          <w:sz w:val="18"/>
          <w:szCs w:val="18"/>
        </w:rPr>
        <w:t xml:space="preserve">✓ EPI / GAO patterns</w:t>
      </w:r>
    </w:p>
    <w:p>
      <w:pPr>
        <w:spacing w:after="20" w:before="60"/>
        <w:ind w:left="360" w:hanging="200"/>
      </w:pPr>
      <w:r>
        <w:rPr>
          <w:sz w:val="21"/>
          <w:szCs w:val="21"/>
        </w:rPr>
        <w:t xml:space="preserve">•  </w:t>
      </w:r>
      <w:r>
        <w:rPr>
          <w:b/>
          <w:bCs/>
          <w:sz w:val="21"/>
          <w:szCs w:val="21"/>
        </w:rPr>
        <w:t xml:space="preserve">Illegal recruiter fees: hundreds to thousands upfront; debt creates pressure to endure poor conditions</w:t>
      </w:r>
    </w:p>
    <w:p>
      <w:pPr>
        <w:spacing w:after="60" w:before="0"/>
        <w:ind w:left="560"/>
      </w:pPr>
      <w:r>
        <w:rPr>
          <w:i/>
          <w:iCs/>
          <w:color w:val="2a7a2a"/>
          <w:sz w:val="18"/>
          <w:szCs w:val="18"/>
        </w:rPr>
        <w:t xml:space="preserve">✓ DOJ Compunnel 2026 / ProPublica</w:t>
      </w:r>
    </w:p>
    <w:p>
      <w:pPr>
        <w:spacing w:after="20" w:before="60"/>
        <w:ind w:left="360" w:hanging="200"/>
      </w:pPr>
      <w:r>
        <w:rPr>
          <w:sz w:val="21"/>
          <w:szCs w:val="21"/>
        </w:rPr>
        <w:t xml:space="preserve">•  </w:t>
      </w:r>
      <w:r>
        <w:rPr>
          <w:b/>
          <w:bCs/>
          <w:sz w:val="21"/>
          <w:szCs w:val="21"/>
        </w:rPr>
        <w:t xml:space="preserve">India EB-2 green card wait: 12+ years (priority date ~2013)</w:t>
      </w:r>
    </w:p>
    <w:p>
      <w:pPr>
        <w:spacing w:after="60" w:before="0"/>
        <w:ind w:left="560"/>
      </w:pPr>
      <w:r>
        <w:rPr>
          <w:i/>
          <w:iCs/>
          <w:color w:val="2a7a2a"/>
          <w:sz w:val="18"/>
          <w:szCs w:val="18"/>
        </w:rPr>
        <w:t xml:space="preserve">✓ Visa Bulletin Feb 2026</w:t>
      </w:r>
    </w:p>
    <w:p>
      <w:pPr>
        <w:spacing w:after="20" w:before="60"/>
        <w:ind w:left="360" w:hanging="200"/>
      </w:pPr>
      <w:r>
        <w:rPr>
          <w:sz w:val="21"/>
          <w:szCs w:val="21"/>
        </w:rPr>
        <w:t xml:space="preserve">•  </w:t>
      </w:r>
      <w:r>
        <w:rPr>
          <w:b/>
          <w:bCs/>
          <w:sz w:val="21"/>
          <w:szCs w:val="21"/>
        </w:rPr>
        <w:t xml:space="preserve">Retaliation prohibited on paper; 60-day clock + blacklisting risk means most violations go unreported</w:t>
      </w:r>
    </w:p>
    <w:p>
      <w:pPr>
        <w:spacing w:after="60" w:before="0"/>
        <w:ind w:left="560"/>
      </w:pPr>
      <w:r>
        <w:rPr>
          <w:i/>
          <w:iCs/>
          <w:color w:val="2a7a2a"/>
          <w:sz w:val="18"/>
          <w:szCs w:val="18"/>
        </w:rPr>
        <w:t xml:space="preserve">✓ DOL Fact Sheet #77D; EEOC guidance</w:t>
      </w:r>
    </w:p>
    <w:p>
      <w:pPr>
        <w:spacing w:after="20" w:before="60"/>
        <w:ind w:left="360" w:hanging="200"/>
      </w:pPr>
      <w:r>
        <w:rPr>
          <w:sz w:val="21"/>
          <w:szCs w:val="21"/>
        </w:rPr>
        <w:t xml:space="preserve">•  </w:t>
      </w:r>
      <w:r>
        <w:rPr>
          <w:b/>
          <w:bCs/>
          <w:sz w:val="21"/>
          <w:szCs w:val="21"/>
        </w:rPr>
        <w:t xml:space="preserve">Annual remittances: $15,000–$25,000+ per skilled worker; India receives tens of billions annually from U.S.</w:t>
      </w:r>
    </w:p>
    <w:p>
      <w:pPr>
        <w:spacing w:after="60" w:before="0"/>
        <w:ind w:left="560"/>
      </w:pPr>
      <w:r>
        <w:rPr>
          <w:i/>
          <w:iCs/>
          <w:color w:val="2a7a2a"/>
          <w:sz w:val="18"/>
          <w:szCs w:val="18"/>
        </w:rPr>
        <w:t xml:space="preserve">✓ World Bank Remittances — worldbank.org/en/topic/remittances</w:t>
      </w:r>
    </w:p>
    <w:p>
      <w:pPr>
        <w:spacing w:after="20" w:before="60"/>
        <w:ind w:left="360" w:hanging="200"/>
      </w:pPr>
      <w:r>
        <w:rPr>
          <w:sz w:val="21"/>
          <w:szCs w:val="21"/>
        </w:rPr>
        <w:t xml:space="preserve">•  </w:t>
      </w:r>
      <w:r>
        <w:rPr>
          <w:b/>
          <w:bCs/>
          <w:sz w:val="21"/>
          <w:szCs w:val="21"/>
        </w:rPr>
        <w:t xml:space="preserve">Workers 4x more likely to live in overcrowded housing than U.S. natives</w:t>
      </w:r>
    </w:p>
    <w:p>
      <w:pPr>
        <w:spacing w:after="60" w:before="0"/>
        <w:ind w:left="560"/>
      </w:pPr>
      <w:r>
        <w:rPr>
          <w:i/>
          <w:iCs/>
          <w:color w:val="2a7a2a"/>
          <w:sz w:val="18"/>
          <w:szCs w:val="18"/>
        </w:rPr>
        <w:t xml:space="preserve">✓ CIS Overcrowded Housing Report</w:t>
      </w:r>
    </w:p>
    <w:p>
      <w:pPr>
        <w:pStyle w:val="Heading3"/>
        <w:spacing w:after="80" w:before="200"/>
      </w:pPr>
      <w:r>
        <w:rPr>
          <w:b/>
          <w:bCs/>
          <w:color w:val="444466"/>
          <w:sz w:val="22"/>
          <w:szCs w:val="22"/>
        </w:rPr>
        <w:t xml:space="preserve">RIGHT PANEL — True Effect on Americans (H-1B)</w:t>
      </w:r>
    </w:p>
    <w:p>
      <w:pPr>
        <w:spacing w:after="20" w:before="60"/>
        <w:ind w:left="360" w:hanging="200"/>
      </w:pPr>
      <w:r>
        <w:rPr>
          <w:sz w:val="21"/>
          <w:szCs w:val="21"/>
        </w:rPr>
        <w:t xml:space="preserve">•  </w:t>
      </w:r>
      <w:r>
        <w:rPr>
          <w:b/>
          <w:bCs/>
          <w:sz w:val="21"/>
          <w:szCs w:val="21"/>
        </w:rPr>
        <w:t xml:space="preserve">85,000 Americans laid off; 34,000 H-1B workers hired — same companies, same years</w:t>
      </w:r>
    </w:p>
    <w:p>
      <w:pPr>
        <w:spacing w:after="60" w:before="0"/>
        <w:ind w:left="560"/>
      </w:pPr>
      <w:r>
        <w:rPr>
          <w:i/>
          <w:iCs/>
          <w:color w:val="2a7a2a"/>
          <w:sz w:val="18"/>
          <w:szCs w:val="18"/>
        </w:rPr>
        <w:t xml:space="preserve">✓ Sen. Bernie Sanders Op-Ed, January 2025</w:t>
      </w:r>
    </w:p>
    <w:p>
      <w:pPr>
        <w:spacing w:after="20" w:before="60"/>
        <w:ind w:left="360" w:hanging="200"/>
      </w:pPr>
      <w:r>
        <w:rPr>
          <w:sz w:val="21"/>
          <w:szCs w:val="21"/>
        </w:rPr>
        <w:t xml:space="preserve">•  </w:t>
      </w:r>
      <w:r>
        <w:rPr>
          <w:b/>
          <w:bCs/>
          <w:sz w:val="21"/>
          <w:szCs w:val="21"/>
        </w:rPr>
        <w:t xml:space="preserve">Disney 2015: 250 IT workers laid off and forced to train H-1B replacements from HCL/Cognizant</w:t>
      </w:r>
    </w:p>
    <w:p>
      <w:pPr>
        <w:spacing w:after="60" w:before="0"/>
        <w:ind w:left="560"/>
      </w:pPr>
      <w:r>
        <w:rPr>
          <w:i/>
          <w:iCs/>
          <w:color w:val="2a7a2a"/>
          <w:sz w:val="18"/>
          <w:szCs w:val="18"/>
        </w:rPr>
        <w:t xml:space="preserve">✓ EPI — epi.org/blog/disney-h1b-scandal-in-spotlight...</w:t>
      </w:r>
    </w:p>
    <w:p>
      <w:pPr>
        <w:spacing w:after="20" w:before="60"/>
        <w:ind w:left="360" w:hanging="200"/>
      </w:pPr>
      <w:r>
        <w:rPr>
          <w:sz w:val="21"/>
          <w:szCs w:val="21"/>
        </w:rPr>
        <w:t xml:space="preserve">•  </w:t>
      </w:r>
      <w:r>
        <w:rPr>
          <w:b/>
          <w:bCs/>
          <w:sz w:val="21"/>
          <w:szCs w:val="21"/>
        </w:rPr>
        <w:t xml:space="preserve">Southern California Edison 2015: 500 workers displaced by H-1B outsourcing</w:t>
      </w:r>
    </w:p>
    <w:p>
      <w:pPr>
        <w:spacing w:after="60" w:before="0"/>
        <w:ind w:left="560"/>
      </w:pPr>
      <w:r>
        <w:rPr>
          <w:i/>
          <w:iCs/>
          <w:color w:val="2a7a2a"/>
          <w:sz w:val="18"/>
          <w:szCs w:val="18"/>
        </w:rPr>
        <w:t xml:space="preserve">✓ EPI</w:t>
      </w:r>
    </w:p>
    <w:p>
      <w:pPr>
        <w:spacing w:after="20" w:before="60"/>
        <w:ind w:left="360" w:hanging="200"/>
      </w:pPr>
      <w:r>
        <w:rPr>
          <w:sz w:val="21"/>
          <w:szCs w:val="21"/>
        </w:rPr>
        <w:t xml:space="preserve">•  </w:t>
      </w:r>
      <w:r>
        <w:rPr>
          <w:b/>
          <w:bCs/>
          <w:sz w:val="21"/>
          <w:szCs w:val="21"/>
        </w:rPr>
        <w:t xml:space="preserve">Average offered H-1B wages ~$10,191 below OEWS mean — suppresses wages across entire departments</w:t>
      </w:r>
    </w:p>
    <w:p>
      <w:pPr>
        <w:spacing w:after="60" w:before="0"/>
        <w:ind w:left="560"/>
      </w:pPr>
      <w:r>
        <w:rPr>
          <w:i/>
          <w:iCs/>
          <w:color w:val="2a7a2a"/>
          <w:sz w:val="18"/>
          <w:szCs w:val="18"/>
        </w:rPr>
        <w:t xml:space="preserve">✓ DOL LCA wage analysis / EPI</w:t>
      </w:r>
    </w:p>
    <w:p>
      <w:pPr>
        <w:spacing w:after="20" w:before="60"/>
        <w:ind w:left="360" w:hanging="200"/>
      </w:pPr>
      <w:r>
        <w:rPr>
          <w:sz w:val="21"/>
          <w:szCs w:val="21"/>
        </w:rPr>
        <w:t xml:space="preserve">•  </w:t>
      </w:r>
      <w:r>
        <w:rPr>
          <w:b/>
          <w:bCs/>
          <w:sz w:val="21"/>
          <w:szCs w:val="21"/>
        </w:rPr>
        <w:t xml:space="preserve">“Critical shortage” narrative contradicted by BLS STEM unemployment and underemployment data</w:t>
      </w:r>
    </w:p>
    <w:p>
      <w:pPr>
        <w:spacing w:after="60" w:before="0"/>
        <w:ind w:left="560"/>
      </w:pPr>
      <w:r>
        <w:rPr>
          <w:i/>
          <w:iCs/>
          <w:color w:val="2a7a2a"/>
          <w:sz w:val="18"/>
          <w:szCs w:val="18"/>
        </w:rPr>
        <w:t xml:space="preserve">✓ BLS — pending Phase 3a pull</w:t>
      </w:r>
    </w:p>
    <w:p>
      <w:pPr>
        <w:spacing w:after="20" w:before="60"/>
        <w:ind w:left="360" w:hanging="200"/>
      </w:pPr>
      <w:r>
        <w:rPr>
          <w:sz w:val="21"/>
          <w:szCs w:val="21"/>
        </w:rPr>
        <w:t xml:space="preserve">•  </w:t>
      </w:r>
      <w:r>
        <w:rPr>
          <w:b/>
          <w:bCs/>
          <w:sz w:val="21"/>
          <w:szCs w:val="21"/>
        </w:rPr>
        <w:t xml:space="preserve">Captive H-1B labor reduces workers’ ability to organize — core workforce cannot safely participate in collective action</w:t>
      </w:r>
    </w:p>
    <w:p>
      <w:pPr>
        <w:spacing w:after="60" w:before="0"/>
        <w:ind w:left="560"/>
      </w:pPr>
      <w:r>
        <w:rPr>
          <w:i/>
          <w:iCs/>
          <w:color w:val="2a7a2a"/>
          <w:sz w:val="18"/>
          <w:szCs w:val="18"/>
        </w:rPr>
        <w:t xml:space="preserve">✓ EPI / labor research</w:t>
      </w:r>
    </w:p>
    <w:p>
      <w:pPr>
        <w:spacing w:after="20" w:before="60"/>
        <w:ind w:left="360" w:hanging="200"/>
      </w:pPr>
      <w:r>
        <w:rPr>
          <w:sz w:val="21"/>
          <w:szCs w:val="21"/>
        </w:rPr>
        <w:t xml:space="preserve">•  </w:t>
      </w:r>
      <w:r>
        <w:rPr>
          <w:b/>
          <w:bCs/>
          <w:sz w:val="21"/>
          <w:szCs w:val="21"/>
        </w:rPr>
        <w:t xml:space="preserve">Capital flight: $15k–$25k+ remitted per worker annually — extracted from local economies</w:t>
      </w:r>
    </w:p>
    <w:p>
      <w:pPr>
        <w:spacing w:after="60" w:before="0"/>
        <w:ind w:left="560"/>
      </w:pPr>
      <w:r>
        <w:rPr>
          <w:i/>
          <w:iCs/>
          <w:color w:val="2a7a2a"/>
          <w:sz w:val="18"/>
          <w:szCs w:val="18"/>
        </w:rPr>
        <w:t xml:space="preserve">✓ World Bank</w:t>
      </w:r>
    </w:p>
    <w:p>
      <w:pPr>
        <w:pBdr>
          <w:bottom w:val="single" w:color="ccccdd" w:sz="4" w:space="1"/>
        </w:pBdr>
        <w:spacing w:after="160" w:before="160"/>
      </w:pPr>
    </w:p>
    <w:p>
      <w:pPr>
        <w:pStyle w:val="Heading2"/>
        <w:spacing w:after="120" w:before="280"/>
      </w:pPr>
      <w:r>
        <w:rPr>
          <w:b/>
          <w:bCs/>
          <w:color w:val="8B0000"/>
          <w:sz w:val="26"/>
          <w:szCs w:val="26"/>
        </w:rPr>
        <w:t xml:space="preserve">H-2 DICHOTOMY OF TRUTH</w:t>
      </w:r>
    </w:p>
    <w:p>
      <w:pPr>
        <w:pStyle w:val="Heading3"/>
        <w:spacing w:after="80" w:before="200"/>
      </w:pPr>
      <w:r>
        <w:rPr>
          <w:b/>
          <w:bCs/>
          <w:color w:val="444466"/>
          <w:sz w:val="22"/>
          <w:szCs w:val="22"/>
        </w:rPr>
        <w:t xml:space="preserve">LEFT PANEL — Who Are the H-2 Workers?</w:t>
      </w:r>
    </w:p>
    <w:p>
      <w:pPr>
        <w:spacing w:after="20" w:before="60"/>
        <w:ind w:left="360" w:hanging="200"/>
      </w:pPr>
      <w:r>
        <w:rPr>
          <w:sz w:val="21"/>
          <w:szCs w:val="21"/>
        </w:rPr>
        <w:t xml:space="preserve">•  </w:t>
      </w:r>
      <w:r>
        <w:rPr>
          <w:b/>
          <w:bCs/>
          <w:sz w:val="21"/>
          <w:szCs w:val="21"/>
        </w:rPr>
        <w:t xml:space="preserve">84% of H-2A jobs require lifting, extreme temperatures, and repetitive movements</w:t>
      </w:r>
    </w:p>
    <w:p>
      <w:pPr>
        <w:spacing w:after="60" w:before="0"/>
        <w:ind w:left="560"/>
      </w:pPr>
      <w:r>
        <w:rPr>
          <w:i/>
          <w:iCs/>
          <w:color w:val="2a7a2a"/>
          <w:sz w:val="18"/>
          <w:szCs w:val="18"/>
        </w:rPr>
        <w:t xml:space="preserve">✓ GAO-25-106389</w:t>
      </w:r>
    </w:p>
    <w:p>
      <w:pPr>
        <w:spacing w:after="20" w:before="60"/>
        <w:ind w:left="360" w:hanging="200"/>
      </w:pPr>
      <w:r>
        <w:rPr>
          <w:sz w:val="21"/>
          <w:szCs w:val="21"/>
        </w:rPr>
        <w:t xml:space="preserve">•  </w:t>
      </w:r>
      <w:r>
        <w:rPr>
          <w:b/>
          <w:bCs/>
          <w:sz w:val="21"/>
          <w:szCs w:val="21"/>
        </w:rPr>
        <w:t xml:space="preserve">Employer controls housing AND visa status simultaneously — complain/quit/fired = lose both</w:t>
      </w:r>
    </w:p>
    <w:p>
      <w:pPr>
        <w:spacing w:after="60" w:before="0"/>
        <w:ind w:left="560"/>
      </w:pPr>
      <w:r>
        <w:rPr>
          <w:i/>
          <w:iCs/>
          <w:color w:val="2a7a2a"/>
          <w:sz w:val="18"/>
          <w:szCs w:val="18"/>
        </w:rPr>
        <w:t xml:space="preserve">✓ DOL Fact Sheet #26G / GAO-25-106389</w:t>
      </w:r>
    </w:p>
    <w:p>
      <w:pPr>
        <w:spacing w:after="20" w:before="60"/>
        <w:ind w:left="360" w:hanging="200"/>
      </w:pPr>
      <w:r>
        <w:rPr>
          <w:sz w:val="21"/>
          <w:szCs w:val="21"/>
        </w:rPr>
        <w:t xml:space="preserve">•  </w:t>
      </w:r>
      <w:r>
        <w:rPr>
          <w:b/>
          <w:bCs/>
          <w:sz w:val="21"/>
          <w:szCs w:val="21"/>
        </w:rPr>
        <w:t xml:space="preserve">Recruiter debt: $1,000–$9,000+ upfront; loans at up to 20%/month interest; debt bondage is documented</w:t>
      </w:r>
    </w:p>
    <w:p>
      <w:pPr>
        <w:spacing w:after="60" w:before="0"/>
        <w:ind w:left="560"/>
      </w:pPr>
      <w:r>
        <w:rPr>
          <w:i/>
          <w:iCs/>
          <w:color w:val="2a7a2a"/>
          <w:sz w:val="18"/>
          <w:szCs w:val="18"/>
        </w:rPr>
        <w:t xml:space="preserve">✓ ProPublica 2025–2026; Polaris Project</w:t>
      </w:r>
    </w:p>
    <w:p>
      <w:pPr>
        <w:spacing w:after="20" w:before="60"/>
        <w:ind w:left="360" w:hanging="200"/>
      </w:pPr>
      <w:r>
        <w:rPr>
          <w:sz w:val="21"/>
          <w:szCs w:val="21"/>
        </w:rPr>
        <w:t xml:space="preserve">•  </w:t>
      </w:r>
      <w:r>
        <w:rPr>
          <w:b/>
          <w:bCs/>
          <w:sz w:val="21"/>
          <w:szCs w:val="21"/>
        </w:rPr>
        <w:t xml:space="preserve">Lucky Growers (CA, Dec 2025): workers charged rent for pest-infested, structurally damaged housing</w:t>
      </w:r>
    </w:p>
    <w:p>
      <w:pPr>
        <w:spacing w:after="60" w:before="0"/>
        <w:ind w:left="560"/>
      </w:pPr>
      <w:r>
        <w:rPr>
          <w:i/>
          <w:iCs/>
          <w:color w:val="2a7a2a"/>
          <w:sz w:val="18"/>
          <w:szCs w:val="18"/>
        </w:rPr>
        <w:t xml:space="preserve">✓ WHD Release 25-1366-SAN</w:t>
      </w:r>
    </w:p>
    <w:p>
      <w:pPr>
        <w:spacing w:after="20" w:before="60"/>
        <w:ind w:left="360" w:hanging="200"/>
      </w:pPr>
      <w:r>
        <w:rPr>
          <w:sz w:val="21"/>
          <w:szCs w:val="21"/>
        </w:rPr>
        <w:t xml:space="preserve">•  </w:t>
      </w:r>
      <w:r>
        <w:rPr>
          <w:b/>
          <w:bCs/>
          <w:sz w:val="21"/>
          <w:szCs w:val="21"/>
        </w:rPr>
        <w:t xml:space="preserve">Operation Blooming Onion (Georgia, 2025–2026): forced labor, violence, sexual assault, deaths; $200M+ contractor profit</w:t>
      </w:r>
    </w:p>
    <w:p>
      <w:pPr>
        <w:spacing w:after="60" w:before="0"/>
        <w:ind w:left="560"/>
      </w:pPr>
      <w:r>
        <w:rPr>
          <w:i/>
          <w:iCs/>
          <w:color w:val="2a7a2a"/>
          <w:sz w:val="18"/>
          <w:szCs w:val="18"/>
        </w:rPr>
        <w:t xml:space="preserve">✓ DOJ / ProPublica 2026</w:t>
      </w:r>
    </w:p>
    <w:p>
      <w:pPr>
        <w:spacing w:after="20" w:before="60"/>
        <w:ind w:left="360" w:hanging="200"/>
      </w:pPr>
      <w:r>
        <w:rPr>
          <w:sz w:val="21"/>
          <w:szCs w:val="21"/>
        </w:rPr>
        <w:t xml:space="preserve">•  </w:t>
      </w:r>
      <w:r>
        <w:rPr>
          <w:b/>
          <w:bCs/>
          <w:sz w:val="21"/>
          <w:szCs w:val="21"/>
        </w:rPr>
        <w:t xml:space="preserve">Absolute 3-year cap + 60-day mandatory departure — no pathway to permanence</w:t>
      </w:r>
    </w:p>
    <w:p>
      <w:pPr>
        <w:spacing w:after="60" w:before="0"/>
        <w:ind w:left="560"/>
      </w:pPr>
      <w:r>
        <w:rPr>
          <w:i/>
          <w:iCs/>
          <w:color w:val="2a7a2a"/>
          <w:sz w:val="18"/>
          <w:szCs w:val="18"/>
        </w:rPr>
        <w:t xml:space="preserve">✓ INA §101(a)(15)(H)(ii)(a)</w:t>
      </w:r>
    </w:p>
    <w:p>
      <w:pPr>
        <w:spacing w:after="20" w:before="60"/>
        <w:ind w:left="360" w:hanging="200"/>
      </w:pPr>
      <w:r>
        <w:rPr>
          <w:sz w:val="21"/>
          <w:szCs w:val="21"/>
        </w:rPr>
        <w:t xml:space="preserve">•  </w:t>
      </w:r>
      <w:r>
        <w:rPr>
          <w:b/>
          <w:bCs/>
          <w:sz w:val="21"/>
          <w:szCs w:val="21"/>
        </w:rPr>
        <w:t xml:space="preserve">Rural isolation cuts workers off from legal aid, advocates, and support networks</w:t>
      </w:r>
    </w:p>
    <w:p>
      <w:pPr>
        <w:spacing w:after="60" w:before="0"/>
        <w:ind w:left="560"/>
      </w:pPr>
      <w:r>
        <w:rPr>
          <w:i/>
          <w:iCs/>
          <w:color w:val="2a7a2a"/>
          <w:sz w:val="18"/>
          <w:szCs w:val="18"/>
        </w:rPr>
        <w:t xml:space="preserve">✓ Centro de los Derechos del Migrante; GAO</w:t>
      </w:r>
    </w:p>
    <w:p>
      <w:pPr>
        <w:spacing w:after="20" w:before="60"/>
        <w:ind w:left="360" w:hanging="200"/>
      </w:pPr>
      <w:r>
        <w:rPr>
          <w:sz w:val="21"/>
          <w:szCs w:val="21"/>
        </w:rPr>
        <w:t xml:space="preserve">•  </w:t>
      </w:r>
      <w:r>
        <w:rPr>
          <w:b/>
          <w:bCs/>
          <w:sz w:val="21"/>
          <w:szCs w:val="21"/>
        </w:rPr>
        <w:t xml:space="preserve">Annual remittances: ~$20,000–$25,000 per H-2A worker; ~400k active workers = substantial aggregate outflow</w:t>
      </w:r>
    </w:p>
    <w:p>
      <w:pPr>
        <w:spacing w:after="60" w:before="0"/>
        <w:ind w:left="560"/>
      </w:pPr>
      <w:r>
        <w:rPr>
          <w:i/>
          <w:iCs/>
          <w:color w:val="2a7a2a"/>
          <w:sz w:val="18"/>
          <w:szCs w:val="18"/>
        </w:rPr>
        <w:t xml:space="preserve">✓ World Bank</w:t>
      </w:r>
    </w:p>
    <w:p>
      <w:pPr>
        <w:pStyle w:val="Heading3"/>
        <w:spacing w:after="80" w:before="200"/>
      </w:pPr>
      <w:r>
        <w:rPr>
          <w:b/>
          <w:bCs/>
          <w:color w:val="444466"/>
          <w:sz w:val="22"/>
          <w:szCs w:val="22"/>
        </w:rPr>
        <w:t xml:space="preserve">RIGHT PANEL — True Effect on Americans (H-2)</w:t>
      </w:r>
    </w:p>
    <w:p>
      <w:pPr>
        <w:spacing w:after="20" w:before="60"/>
        <w:ind w:left="360" w:hanging="200"/>
      </w:pPr>
      <w:r>
        <w:rPr>
          <w:sz w:val="21"/>
          <w:szCs w:val="21"/>
        </w:rPr>
        <w:t xml:space="preserve">•  </w:t>
      </w:r>
      <w:r>
        <w:rPr>
          <w:b/>
          <w:bCs/>
          <w:sz w:val="21"/>
          <w:szCs w:val="21"/>
        </w:rPr>
        <w:t xml:space="preserve">EPI: 2026 IFR wage cuts reduce U.S. farmworker wages by $2.7–$3.3 billion annually (7.1– 8.7%)</w:t>
      </w:r>
    </w:p>
    <w:p>
      <w:pPr>
        <w:spacing w:after="60" w:before="0"/>
        <w:ind w:left="560"/>
      </w:pPr>
      <w:r>
        <w:rPr>
          <w:i/>
          <w:iCs/>
          <w:color w:val="2a7a2a"/>
          <w:sz w:val="18"/>
          <w:szCs w:val="18"/>
        </w:rPr>
        <w:t xml:space="preserve">✓ EPI Nov 2025 — epi.org/blog/trumps-new-h-2a-wage-rule...</w:t>
      </w:r>
    </w:p>
    <w:p>
      <w:pPr>
        <w:spacing w:after="20" w:before="60"/>
        <w:ind w:left="360" w:hanging="200"/>
      </w:pPr>
      <w:r>
        <w:rPr>
          <w:sz w:val="21"/>
          <w:szCs w:val="21"/>
        </w:rPr>
        <w:t xml:space="preserve">•  </w:t>
      </w:r>
      <w:r>
        <w:rPr>
          <w:b/>
          <w:bCs/>
          <w:sz w:val="21"/>
          <w:szCs w:val="21"/>
        </w:rPr>
        <w:t xml:space="preserve">10% AEWR increase raises domestic farm wages only ~2.8% — suppression is structural, not marginal</w:t>
      </w:r>
    </w:p>
    <w:p>
      <w:pPr>
        <w:spacing w:after="60" w:before="0"/>
        <w:ind w:left="560"/>
      </w:pPr>
      <w:r>
        <w:rPr>
          <w:i/>
          <w:iCs/>
          <w:color w:val="2a7a2a"/>
          <w:sz w:val="18"/>
          <w:szCs w:val="18"/>
        </w:rPr>
        <w:t xml:space="preserve">✓ Rutledge et al. 2025 — onlinelibrary.wiley.com/doi/full/10.1111/ajae.12557</w:t>
      </w:r>
    </w:p>
    <w:p>
      <w:pPr>
        <w:spacing w:after="20" w:before="60"/>
        <w:ind w:left="360" w:hanging="200"/>
      </w:pPr>
      <w:r>
        <w:rPr>
          <w:sz w:val="21"/>
          <w:szCs w:val="21"/>
        </w:rPr>
        <w:t xml:space="preserve">•  </w:t>
      </w:r>
      <w:r>
        <w:rPr>
          <w:b/>
          <w:bCs/>
          <w:sz w:val="21"/>
          <w:szCs w:val="21"/>
        </w:rPr>
        <w:t xml:space="preserve">H-2A violations = 54% of all agricultural back-wage assessments FY2018–2023 — enforcement collapse benefits employers</w:t>
      </w:r>
    </w:p>
    <w:p>
      <w:pPr>
        <w:spacing w:after="60" w:before="0"/>
        <w:ind w:left="560"/>
      </w:pPr>
      <w:r>
        <w:rPr>
          <w:i/>
          <w:iCs/>
          <w:color w:val="2a7a2a"/>
          <w:sz w:val="18"/>
          <w:szCs w:val="18"/>
        </w:rPr>
        <w:t xml:space="preserve">✓ GAO-25-106389 / EPI</w:t>
      </w:r>
    </w:p>
    <w:p>
      <w:pPr>
        <w:spacing w:after="20" w:before="60"/>
        <w:ind w:left="360" w:hanging="200"/>
      </w:pPr>
      <w:r>
        <w:rPr>
          <w:sz w:val="21"/>
          <w:szCs w:val="21"/>
        </w:rPr>
        <w:t xml:space="preserve">•  </w:t>
      </w:r>
      <w:r>
        <w:rPr>
          <w:b/>
          <w:bCs/>
          <w:sz w:val="21"/>
          <w:szCs w:val="21"/>
        </w:rPr>
        <w:t xml:space="preserve">Rural towns hollowed as seasonal jobs go to visa workers; local spending multiplier collapses</w:t>
      </w:r>
    </w:p>
    <w:p>
      <w:pPr>
        <w:spacing w:after="60" w:before="0"/>
        <w:ind w:left="560"/>
      </w:pPr>
      <w:r>
        <w:rPr>
          <w:i/>
          <w:iCs/>
          <w:color w:val="2a7a2a"/>
          <w:sz w:val="18"/>
          <w:szCs w:val="18"/>
        </w:rPr>
        <w:t xml:space="preserve">✓ EPI / rural economic research</w:t>
      </w:r>
    </w:p>
    <w:p>
      <w:pPr>
        <w:spacing w:after="20" w:before="60"/>
        <w:ind w:left="360" w:hanging="200"/>
      </w:pPr>
      <w:r>
        <w:rPr>
          <w:sz w:val="21"/>
          <w:szCs w:val="21"/>
        </w:rPr>
        <w:t xml:space="preserve">•  </w:t>
      </w:r>
      <w:r>
        <w:rPr>
          <w:b/>
          <w:bCs/>
          <w:sz w:val="21"/>
          <w:szCs w:val="21"/>
        </w:rPr>
        <w:t xml:space="preserve">American farm and seasonal workers priced out of local labor markets by wage floor suppression</w:t>
      </w:r>
    </w:p>
    <w:p>
      <w:pPr>
        <w:spacing w:after="60" w:before="0"/>
        <w:ind w:left="560"/>
      </w:pPr>
      <w:r>
        <w:rPr>
          <w:i/>
          <w:iCs/>
          <w:color w:val="2a7a2a"/>
          <w:sz w:val="18"/>
          <w:szCs w:val="18"/>
        </w:rPr>
        <w:t xml:space="preserve">✓ EPI; Rutledge et al.</w:t>
      </w:r>
    </w:p>
    <w:p>
      <w:pPr>
        <w:spacing w:after="20" w:before="60"/>
        <w:ind w:left="360" w:hanging="200"/>
      </w:pPr>
      <w:r>
        <w:rPr>
          <w:sz w:val="21"/>
          <w:szCs w:val="21"/>
        </w:rPr>
        <w:t xml:space="preserve">•  </w:t>
      </w:r>
      <w:r>
        <w:rPr>
          <w:b/>
          <w:bCs/>
          <w:sz w:val="21"/>
          <w:szCs w:val="21"/>
        </w:rPr>
        <w:t xml:space="preserve">Critical seasonal income lost to rural families — the economic cycle that sustains rural communities</w:t>
      </w:r>
    </w:p>
    <w:p>
      <w:pPr>
        <w:spacing w:after="60" w:before="0"/>
        <w:ind w:left="560"/>
      </w:pPr>
      <w:r>
        <w:rPr>
          <w:i/>
          <w:iCs/>
          <w:color w:val="2a7a2a"/>
          <w:sz w:val="18"/>
          <w:szCs w:val="18"/>
        </w:rPr>
        <w:t xml:space="preserve">✓ EPI analyses 2025</w:t>
      </w:r>
    </w:p>
    <w:p>
      <w:pPr>
        <w:spacing w:after="20" w:before="60"/>
        <w:ind w:left="360" w:hanging="200"/>
      </w:pPr>
      <w:r>
        <w:rPr>
          <w:sz w:val="21"/>
          <w:szCs w:val="21"/>
        </w:rPr>
        <w:t xml:space="preserve">•  </w:t>
      </w:r>
      <w:r>
        <w:rPr>
          <w:b/>
          <w:bCs/>
          <w:sz w:val="21"/>
          <w:szCs w:val="21"/>
        </w:rPr>
        <w:t xml:space="preserve">UFW lawsuit (E.D. Cal., 1:25-cv-01614, filed Nov 2025): challenges wage rule cuts on behalf of domestic workers</w:t>
      </w:r>
    </w:p>
    <w:p>
      <w:pPr>
        <w:spacing w:after="60" w:before="0"/>
        <w:ind w:left="560"/>
      </w:pPr>
      <w:r>
        <w:rPr>
          <w:i/>
          <w:iCs/>
          <w:color w:val="2a7a2a"/>
          <w:sz w:val="18"/>
          <w:szCs w:val="18"/>
        </w:rPr>
        <w:t xml:space="preserve">✓ Clearinghouse.net — clearinghouse.net/case/47407/</w:t>
      </w:r>
    </w:p>
    <w:p>
      <w:r>
        <w:br w:type="page"/>
      </w:r>
    </w:p>
    <w:p>
      <w:pPr>
        <w:pStyle w:val="Heading1"/>
        <w:spacing w:after="160" w:before="400"/>
      </w:pPr>
      <w:r>
        <w:rPr>
          <w:b/>
          <w:bCs/>
          <w:color w:val="1a1a2e"/>
          <w:sz w:val="32"/>
          <w:szCs w:val="32"/>
        </w:rPr>
        <w:t xml:space="preserve">SECTION 06 — THE POLITICAL FLIP</w:t>
      </w:r>
    </w:p>
    <w:p>
      <w:pPr>
        <w:pStyle w:val="Heading2"/>
        <w:spacing w:after="120" w:before="280"/>
      </w:pPr>
      <w:r>
        <w:rPr>
          <w:b/>
          <w:bCs/>
          <w:color w:val="2c3e6b"/>
          <w:sz w:val="26"/>
          <w:szCs w:val="26"/>
        </w:rPr>
        <w:t xml:space="preserve">Status</w:t>
      </w:r>
    </w:p>
    <w:p>
      <w:pPr>
        <w:spacing w:after="80" w:before="60"/>
      </w:pPr>
      <w:r>
        <w:rPr>
          <w:sz w:val="22"/>
          <w:szCs w:val="22"/>
        </w:rPr>
        <w:t xml:space="preserve">Placeholder title and persuasive frame in place. Full content Phase 6.</w:t>
      </w:r>
    </w:p>
    <w:p>
      <w:pPr>
        <w:pStyle w:val="Heading2"/>
        <w:spacing w:after="120" w:before="280"/>
      </w:pPr>
      <w:r>
        <w:rPr>
          <w:b/>
          <w:bCs/>
          <w:color w:val="2c3e6b"/>
          <w:sz w:val="26"/>
          <w:szCs w:val="26"/>
        </w:rPr>
        <w:t xml:space="preserve">Core Argument</w:t>
      </w:r>
    </w:p>
    <w:p>
      <w:pPr>
        <w:spacing w:after="80" w:before="60"/>
      </w:pPr>
      <w:r>
        <w:rPr>
          <w:sz w:val="22"/>
          <w:szCs w:val="22"/>
        </w:rPr>
        <w:t xml:space="preserve">The problem was never left vs. right. Both sides switch positions when it benefits the same donor class. Sanders was anti-H-1B for years. The GOP establishment was pro-visa expansion. Positions have inverted. In both configurations, the workers — foreign and domestic — absorb the cost while the asset managers collect the returns.</w:t>
      </w:r>
    </w:p>
    <w:p>
      <w:pPr>
        <w:pStyle w:val="Heading2"/>
        <w:spacing w:after="120" w:before="280"/>
      </w:pPr>
      <w:r>
        <w:rPr>
          <w:b/>
          <w:bCs/>
          <w:color w:val="2c3e6b"/>
          <w:sz w:val="26"/>
          <w:szCs w:val="26"/>
        </w:rPr>
        <w:t xml:space="preserve">Structure</w:t>
      </w:r>
    </w:p>
    <w:p>
      <w:pPr>
        <w:spacing w:after="80" w:before="60"/>
      </w:pPr>
      <w:r>
        <w:rPr>
          <w:sz w:val="22"/>
          <w:szCs w:val="22"/>
        </w:rPr>
        <w:t xml:space="preserve">Side-by-side timeline: Democratic position over time (left column) vs. Republican position over time (right column). Through-line paragraph at bottom connecting both to the same beneficiary.</w:t>
      </w:r>
    </w:p>
    <w:p>
      <w:pPr>
        <w:pStyle w:val="Heading2"/>
        <w:spacing w:after="120" w:before="280"/>
      </w:pPr>
      <w:r>
        <w:rPr>
          <w:b/>
          <w:bCs/>
          <w:color w:val="2c3e6b"/>
          <w:sz w:val="26"/>
          <w:szCs w:val="26"/>
        </w:rPr>
        <w:t xml:space="preserve">Research Needed (Phase 6)</w:t>
      </w:r>
    </w:p>
    <w:p>
      <w:pPr>
        <w:spacing w:after="60" w:before="40"/>
        <w:ind w:left="360"/>
      </w:pPr>
      <w:r>
        <w:rPr>
          <w:i/>
          <w:iCs/>
          <w:color w:val="b87c00"/>
          <w:sz w:val="18"/>
          <w:szCs w:val="18"/>
        </w:rPr>
        <w:t xml:space="preserve">⚑ Pending: Congressional vote records on H-1B/H-2 expansion</w:t>
      </w:r>
    </w:p>
    <w:p>
      <w:pPr>
        <w:spacing w:after="60" w:before="40"/>
        <w:ind w:left="360"/>
      </w:pPr>
      <w:r>
        <w:rPr>
          <w:i/>
          <w:iCs/>
          <w:color w:val="b87c00"/>
          <w:sz w:val="18"/>
          <w:szCs w:val="18"/>
        </w:rPr>
        <w:t xml:space="preserve">⚑ Pending: Donor tracking data — OpenSecrets by party and year</w:t>
      </w:r>
    </w:p>
    <w:p>
      <w:pPr>
        <w:spacing w:after="60" w:before="40"/>
        <w:ind w:left="360"/>
      </w:pPr>
      <w:r>
        <w:rPr>
          <w:i/>
          <w:iCs/>
          <w:color w:val="b87c00"/>
          <w:sz w:val="18"/>
          <w:szCs w:val="18"/>
        </w:rPr>
        <w:t xml:space="preserve">⚑ Pending: Exact quotes with dates from key legislators</w:t>
      </w:r>
    </w:p>
    <w:p>
      <w:pPr>
        <w:spacing w:after="60" w:before="40"/>
        <w:ind w:left="360"/>
      </w:pPr>
      <w:r>
        <w:rPr>
          <w:i/>
          <w:iCs/>
          <w:color w:val="b87c00"/>
          <w:sz w:val="18"/>
          <w:szCs w:val="18"/>
        </w:rPr>
        <w:t xml:space="preserve">⚑ Pending: Party platform language over time</w:t>
      </w:r>
    </w:p>
    <w:p>
      <w:pPr>
        <w:spacing w:after="60" w:before="40"/>
        <w:ind w:left="360"/>
      </w:pPr>
      <w:r>
        <w:rPr>
          <w:i/>
          <w:iCs/>
          <w:color w:val="b87c00"/>
          <w:sz w:val="18"/>
          <w:szCs w:val="18"/>
        </w:rPr>
        <w:t xml:space="preserve">⚑ Pending: Pew Research polling data on immigration views by party</w:t>
      </w:r>
    </w:p>
    <w:p>
      <w:r>
        <w:br w:type="page"/>
      </w:r>
    </w:p>
    <w:p>
      <w:pPr>
        <w:pStyle w:val="Heading1"/>
        <w:spacing w:after="160" w:before="400"/>
      </w:pPr>
      <w:r>
        <w:rPr>
          <w:b/>
          <w:bCs/>
          <w:color w:val="1a1a2e"/>
          <w:sz w:val="32"/>
          <w:szCs w:val="32"/>
        </w:rPr>
        <w:t xml:space="preserve">SECTION 07 — SEE MY WORK (Sources)</w:t>
      </w:r>
    </w:p>
    <w:p>
      <w:pPr>
        <w:pStyle w:val="Heading2"/>
        <w:spacing w:after="120" w:before="280"/>
      </w:pPr>
      <w:r>
        <w:rPr>
          <w:b/>
          <w:bCs/>
          <w:color w:val="2c3e6b"/>
          <w:sz w:val="26"/>
          <w:szCs w:val="26"/>
        </w:rPr>
        <w:t xml:space="preserve">Verified — In Use</w:t>
      </w:r>
    </w:p>
    <w:p>
      <w:pPr>
        <w:spacing w:after="40" w:before="40"/>
        <w:ind w:left="360" w:hanging="200"/>
      </w:pPr>
      <w:r>
        <w:rPr>
          <w:sz w:val="21"/>
          <w:szCs w:val="21"/>
        </w:rPr>
        <w:t xml:space="preserve">•  BlackRock Q1 2026 — $13.89T AUM</w:t>
      </w:r>
    </w:p>
    <w:p>
      <w:pPr>
        <w:spacing w:after="40" w:before="40"/>
        <w:ind w:left="360" w:hanging="200"/>
      </w:pPr>
      <w:r>
        <w:rPr>
          <w:sz w:val="21"/>
          <w:szCs w:val="21"/>
        </w:rPr>
        <w:t xml:space="preserve">•  ICI 2025 — 56.4% of U.S. households; 128M investors; 73% through employer plans</w:t>
      </w:r>
    </w:p>
    <w:p>
      <w:pPr>
        <w:spacing w:after="40" w:before="40"/>
        <w:ind w:left="360" w:hanging="200"/>
      </w:pPr>
      <w:r>
        <w:rPr>
          <w:sz w:val="21"/>
          <w:szCs w:val="21"/>
        </w:rPr>
        <w:t xml:space="preserve">•  ETF.com / U.S. News Feb 2024 — Big Three ~74% of U.S. equity ETF market</w:t>
      </w:r>
    </w:p>
    <w:p>
      <w:pPr>
        <w:spacing w:after="40" w:before="40"/>
        <w:ind w:left="360" w:hanging="200"/>
      </w:pPr>
      <w:r>
        <w:rPr>
          <w:sz w:val="21"/>
          <w:szCs w:val="21"/>
        </w:rPr>
        <w:t xml:space="preserve">•  Morningstar 2025 — 98.7% management proposal support rate</w:t>
      </w:r>
    </w:p>
    <w:p>
      <w:pPr>
        <w:spacing w:after="40" w:before="40"/>
        <w:ind w:left="360" w:hanging="200"/>
      </w:pPr>
      <w:r>
        <w:rPr>
          <w:sz w:val="21"/>
          <w:szCs w:val="21"/>
        </w:rPr>
        <w:t xml:space="preserve">•  ICFS / SparkCo — Big Three largest shareholder in ~88% of S&amp;P 500; 20–25% median voting power</w:t>
      </w:r>
    </w:p>
    <w:p>
      <w:pPr>
        <w:spacing w:after="40" w:before="40"/>
        <w:ind w:left="360" w:hanging="200"/>
      </w:pPr>
      <w:r>
        <w:rPr>
          <w:sz w:val="21"/>
          <w:szCs w:val="21"/>
        </w:rPr>
        <w:t xml:space="preserve">•  DOL Federal Register Dec 2020 — proxy voting fiduciary duty under ERISA</w:t>
      </w:r>
    </w:p>
    <w:p>
      <w:pPr>
        <w:spacing w:after="40" w:before="40"/>
        <w:ind w:left="360" w:hanging="200"/>
      </w:pPr>
      <w:r>
        <w:rPr>
          <w:sz w:val="21"/>
          <w:szCs w:val="21"/>
        </w:rPr>
        <w:t xml:space="preserve">•  OpenSecrets 2025 — BlackRock $3.4M lobbying; Vanguard $2.58M lobbying</w:t>
      </w:r>
    </w:p>
    <w:p>
      <w:pPr>
        <w:spacing w:after="40" w:before="40"/>
        <w:ind w:left="360" w:hanging="200"/>
      </w:pPr>
      <w:r>
        <w:rPr>
          <w:sz w:val="21"/>
          <w:szCs w:val="21"/>
        </w:rPr>
        <w:t xml:space="preserve">•  NFAP / USCIS FY2025 — Top 5 H-1B sponsor petition counts</w:t>
      </w:r>
    </w:p>
    <w:p>
      <w:pPr>
        <w:spacing w:after="40" w:before="40"/>
        <w:ind w:left="360" w:hanging="200"/>
      </w:pPr>
      <w:r>
        <w:rPr>
          <w:sz w:val="21"/>
          <w:szCs w:val="21"/>
        </w:rPr>
        <w:t xml:space="preserve">•  DOL OFLC FY2025 Q4 — Top H-2A and H-2B sponsor certified position counts</w:t>
      </w:r>
    </w:p>
    <w:p>
      <w:pPr>
        <w:spacing w:after="40" w:before="40"/>
        <w:ind w:left="360" w:hanging="200"/>
      </w:pPr>
      <w:r>
        <w:rPr>
          <w:sz w:val="21"/>
          <w:szCs w:val="21"/>
        </w:rPr>
        <w:t xml:space="preserve">•  USCIS FY2025 H-1B Petitions Report — 456,725 filed; 328,185 approved</w:t>
      </w:r>
    </w:p>
    <w:p>
      <w:pPr>
        <w:spacing w:after="40" w:before="40"/>
        <w:ind w:left="360" w:hanging="200"/>
      </w:pPr>
      <w:r>
        <w:rPr>
          <w:sz w:val="21"/>
          <w:szCs w:val="21"/>
        </w:rPr>
        <w:t xml:space="preserve">•  NBER Working Paper w34793 (Feb 2026) — 16% wage gap; 35% at outsourcing firms</w:t>
      </w:r>
    </w:p>
    <w:p>
      <w:pPr>
        <w:spacing w:after="40" w:before="40"/>
        <w:ind w:left="360" w:hanging="200"/>
      </w:pPr>
      <w:r>
        <w:rPr>
          <w:sz w:val="21"/>
          <w:szCs w:val="21"/>
        </w:rPr>
        <w:t xml:space="preserve">•  EPI — HCL $95M wage theft; displacement cases; AEWR analysis</w:t>
      </w:r>
    </w:p>
    <w:p>
      <w:pPr>
        <w:spacing w:after="40" w:before="40"/>
        <w:ind w:left="360" w:hanging="200"/>
      </w:pPr>
      <w:r>
        <w:rPr>
          <w:sz w:val="21"/>
          <w:szCs w:val="21"/>
        </w:rPr>
        <w:t xml:space="preserve">•  GAO-25-106389 (Nov 2024) — 84% physical demand; 54% back-wage share; enforcement gaps</w:t>
      </w:r>
    </w:p>
    <w:p>
      <w:pPr>
        <w:spacing w:after="40" w:before="40"/>
        <w:ind w:left="360" w:hanging="200"/>
      </w:pPr>
      <w:r>
        <w:rPr>
          <w:sz w:val="21"/>
          <w:szCs w:val="21"/>
        </w:rPr>
        <w:t xml:space="preserve">•  DOL OFLC H-2A/H-2B Disclosure Data FY2026 Q1 — worker-level country data</w:t>
      </w:r>
    </w:p>
    <w:p>
      <w:pPr>
        <w:spacing w:after="40" w:before="40"/>
        <w:ind w:left="360" w:hanging="200"/>
      </w:pPr>
      <w:r>
        <w:rPr>
          <w:sz w:val="21"/>
          <w:szCs w:val="21"/>
        </w:rPr>
        <w:t xml:space="preserve">•  DOL AEWR tables 2025/2026 — flag.dol.gov/wage-data/adverse-effect-wage-rates</w:t>
      </w:r>
    </w:p>
    <w:p>
      <w:pPr>
        <w:spacing w:after="40" w:before="40"/>
        <w:ind w:left="360" w:hanging="200"/>
      </w:pPr>
      <w:r>
        <w:rPr>
          <w:sz w:val="21"/>
          <w:szCs w:val="21"/>
        </w:rPr>
        <w:t xml:space="preserve">•  Federal Register IFR Oct 2025 — housing deduction; 30% AEWR cap</w:t>
      </w:r>
    </w:p>
    <w:p>
      <w:pPr>
        <w:spacing w:after="40" w:before="40"/>
        <w:ind w:left="360" w:hanging="200"/>
      </w:pPr>
      <w:r>
        <w:rPr>
          <w:sz w:val="21"/>
          <w:szCs w:val="21"/>
        </w:rPr>
        <w:t xml:space="preserve">•  Rutledge et al. 2025 — 10% AEWR increase = 2.8% domestic wage gain</w:t>
      </w:r>
    </w:p>
    <w:p>
      <w:pPr>
        <w:spacing w:after="40" w:before="40"/>
        <w:ind w:left="360" w:hanging="200"/>
      </w:pPr>
      <w:r>
        <w:rPr>
          <w:sz w:val="21"/>
          <w:szCs w:val="21"/>
        </w:rPr>
        <w:t xml:space="preserve">•  EPI Nov 2025 — $2.7–$3.3B annual farmworker wage loss from IFR</w:t>
      </w:r>
    </w:p>
    <w:p>
      <w:pPr>
        <w:spacing w:after="40" w:before="40"/>
        <w:ind w:left="360" w:hanging="200"/>
      </w:pPr>
      <w:r>
        <w:rPr>
          <w:sz w:val="21"/>
          <w:szCs w:val="21"/>
        </w:rPr>
        <w:t xml:space="preserve">•  ProPublica 2025–2026 — H-2A exploitation, debt bondage, heat wage theft</w:t>
      </w:r>
    </w:p>
    <w:p>
      <w:pPr>
        <w:spacing w:after="40" w:before="40"/>
        <w:ind w:left="360" w:hanging="200"/>
      </w:pPr>
      <w:r>
        <w:rPr>
          <w:sz w:val="21"/>
          <w:szCs w:val="21"/>
        </w:rPr>
        <w:t xml:space="preserve">•  Polaris Project — H-2A trafficking cases report</w:t>
      </w:r>
    </w:p>
    <w:p>
      <w:pPr>
        <w:spacing w:after="40" w:before="40"/>
        <w:ind w:left="360" w:hanging="200"/>
      </w:pPr>
      <w:r>
        <w:rPr>
          <w:sz w:val="21"/>
          <w:szCs w:val="21"/>
        </w:rPr>
        <w:t xml:space="preserve">•  WHD Release 25-1366-SAN (Dec 2025) — Lucky Growers $171,400 recovery</w:t>
      </w:r>
    </w:p>
    <w:p>
      <w:pPr>
        <w:spacing w:after="40" w:before="40"/>
        <w:ind w:left="360" w:hanging="200"/>
      </w:pPr>
      <w:r>
        <w:rPr>
          <w:sz w:val="21"/>
          <w:szCs w:val="21"/>
        </w:rPr>
        <w:t xml:space="preserve">•  DOJ Compunnel settlement (April 2026) — H-1B ad discrimination</w:t>
      </w:r>
    </w:p>
    <w:p>
      <w:pPr>
        <w:spacing w:after="40" w:before="40"/>
        <w:ind w:left="360" w:hanging="200"/>
      </w:pPr>
      <w:r>
        <w:rPr>
          <w:sz w:val="21"/>
          <w:szCs w:val="21"/>
        </w:rPr>
        <w:t xml:space="preserve">•  DOL Project Firewall (Sep 2025) — 48% investigation increase; &gt;175 probes</w:t>
      </w:r>
    </w:p>
    <w:p>
      <w:pPr>
        <w:spacing w:after="40" w:before="40"/>
        <w:ind w:left="360" w:hanging="200"/>
      </w:pPr>
      <w:r>
        <w:rPr>
          <w:sz w:val="21"/>
          <w:szCs w:val="21"/>
        </w:rPr>
        <w:t xml:space="preserve">•  DOL NPRM March 2026 — wage rule reform</w:t>
      </w:r>
    </w:p>
    <w:p>
      <w:pPr>
        <w:spacing w:after="40" w:before="40"/>
        <w:ind w:left="360" w:hanging="200"/>
      </w:pPr>
      <w:r>
        <w:rPr>
          <w:sz w:val="21"/>
          <w:szCs w:val="21"/>
        </w:rPr>
        <w:t xml:space="preserve">•  Visa Bulletin Feb 2026 — India EB-2 priority date ~2013</w:t>
      </w:r>
    </w:p>
    <w:p>
      <w:pPr>
        <w:spacing w:after="40" w:before="40"/>
        <w:ind w:left="360" w:hanging="200"/>
      </w:pPr>
      <w:r>
        <w:rPr>
          <w:sz w:val="21"/>
          <w:szCs w:val="21"/>
        </w:rPr>
        <w:t xml:space="preserve">•  CIS Overcrowded Housing Report — 4x overcrowding rate</w:t>
      </w:r>
    </w:p>
    <w:p>
      <w:pPr>
        <w:spacing w:after="40" w:before="40"/>
        <w:ind w:left="360" w:hanging="200"/>
      </w:pPr>
      <w:r>
        <w:rPr>
          <w:sz w:val="21"/>
          <w:szCs w:val="21"/>
        </w:rPr>
        <w:t xml:space="preserve">•  DOL Field Assistance Bulletin 2025-2 — Farmworker Protection Rule suspension</w:t>
      </w:r>
    </w:p>
    <w:p>
      <w:pPr>
        <w:spacing w:after="40" w:before="40"/>
        <w:ind w:left="360" w:hanging="200"/>
      </w:pPr>
      <w:r>
        <w:rPr>
          <w:sz w:val="21"/>
          <w:szCs w:val="21"/>
        </w:rPr>
        <w:t xml:space="preserve">•  UFW lawsuit E.D. Cal. 1:25-cv-01614 (Nov 2025) — clearinghouse.net/case/47407/</w:t>
      </w:r>
    </w:p>
    <w:p>
      <w:pPr>
        <w:spacing w:after="40" w:before="40"/>
        <w:ind w:left="360" w:hanging="200"/>
      </w:pPr>
      <w:r>
        <w:rPr>
          <w:sz w:val="21"/>
          <w:szCs w:val="21"/>
        </w:rPr>
        <w:t xml:space="preserve">•  Sen. Sanders Op-Ed January 2025 — 85K layoffs / 34K H-1B hired</w:t>
      </w:r>
    </w:p>
    <w:p>
      <w:pPr>
        <w:spacing w:after="40" w:before="40"/>
        <w:ind w:left="360" w:hanging="200"/>
      </w:pPr>
      <w:r>
        <w:rPr>
          <w:sz w:val="21"/>
          <w:szCs w:val="21"/>
        </w:rPr>
        <w:t xml:space="preserve">•  World Bank Remittances — worldbank.org/en/topic/remittances</w:t>
      </w:r>
    </w:p>
    <w:p>
      <w:pPr>
        <w:spacing w:after="40" w:before="40"/>
        <w:ind w:left="360" w:hanging="200"/>
      </w:pPr>
      <w:r>
        <w:rPr>
          <w:sz w:val="21"/>
          <w:szCs w:val="21"/>
        </w:rPr>
        <w:t xml:space="preserve">•  Centro de los Derechos del Migrante — cdmigrante.org/h2-visa-worker-rights/</w:t>
      </w:r>
    </w:p>
    <w:p>
      <w:pPr>
        <w:pStyle w:val="Heading2"/>
        <w:spacing w:after="120" w:before="280"/>
      </w:pPr>
      <w:r>
        <w:rPr>
          <w:b/>
          <w:bCs/>
          <w:color w:val="2c3e6b"/>
          <w:sz w:val="26"/>
          <w:szCs w:val="26"/>
        </w:rPr>
        <w:t xml:space="preserve">Pending — Phase 3–6</w:t>
      </w:r>
    </w:p>
    <w:p>
      <w:pPr>
        <w:spacing w:after="60" w:before="40"/>
        <w:ind w:left="360"/>
      </w:pPr>
      <w:r>
        <w:rPr>
          <w:i/>
          <w:iCs/>
          <w:color w:val="b87c00"/>
          <w:sz w:val="18"/>
          <w:szCs w:val="18"/>
        </w:rPr>
        <w:t xml:space="preserve">⚑ Pending: USCIS H-1B Employer Data Hub — historical 1990–2026 approval trend</w:t>
      </w:r>
    </w:p>
    <w:p>
      <w:pPr>
        <w:spacing w:after="60" w:before="40"/>
        <w:ind w:left="360"/>
      </w:pPr>
      <w:r>
        <w:rPr>
          <w:i/>
          <w:iCs/>
          <w:color w:val="b87c00"/>
          <w:sz w:val="18"/>
          <w:szCs w:val="18"/>
        </w:rPr>
        <w:t xml:space="preserve">⚑ Pending: DOL PERM / LCA audit rate statistics</w:t>
      </w:r>
    </w:p>
    <w:p>
      <w:pPr>
        <w:spacing w:after="60" w:before="40"/>
        <w:ind w:left="360"/>
      </w:pPr>
      <w:r>
        <w:rPr>
          <w:i/>
          <w:iCs/>
          <w:color w:val="b87c00"/>
          <w:sz w:val="18"/>
          <w:szCs w:val="18"/>
        </w:rPr>
        <w:t xml:space="preserve">⚑ Pending: BLS — STEM unemployment and underemployment data</w:t>
      </w:r>
    </w:p>
    <w:p>
      <w:pPr>
        <w:spacing w:after="60" w:before="40"/>
        <w:ind w:left="360"/>
      </w:pPr>
      <w:r>
        <w:rPr>
          <w:i/>
          <w:iCs/>
          <w:color w:val="b87c00"/>
          <w:sz w:val="18"/>
          <w:szCs w:val="18"/>
        </w:rPr>
        <w:t xml:space="preserve">⚑ Pending: USASpending.gov — per-company federal contract data</w:t>
      </w:r>
    </w:p>
    <w:p>
      <w:pPr>
        <w:spacing w:after="60" w:before="40"/>
        <w:ind w:left="360"/>
      </w:pPr>
      <w:r>
        <w:rPr>
          <w:i/>
          <w:iCs/>
          <w:color w:val="b87c00"/>
          <w:sz w:val="18"/>
          <w:szCs w:val="18"/>
        </w:rPr>
        <w:t xml:space="preserve">⚑ Pending: FEC.gov — PAC contribution data per company</w:t>
      </w:r>
    </w:p>
    <w:p>
      <w:pPr>
        <w:spacing w:after="60" w:before="40"/>
        <w:ind w:left="360"/>
      </w:pPr>
      <w:r>
        <w:rPr>
          <w:i/>
          <w:iCs/>
          <w:color w:val="b87c00"/>
          <w:sz w:val="18"/>
          <w:szCs w:val="18"/>
        </w:rPr>
        <w:t xml:space="preserve">⚑ Pending: SEC 13F filings — cross-ownership exact percentages (confirm Vanguard/BlackRock/State Street)</w:t>
      </w:r>
    </w:p>
    <w:p>
      <w:pPr>
        <w:spacing w:after="60" w:before="40"/>
        <w:ind w:left="360"/>
      </w:pPr>
      <w:r>
        <w:rPr>
          <w:i/>
          <w:iCs/>
          <w:color w:val="b87c00"/>
          <w:sz w:val="18"/>
          <w:szCs w:val="18"/>
        </w:rPr>
        <w:t xml:space="preserve">⚑ Pending: Pew Research — immigration views polling</w:t>
      </w:r>
    </w:p>
    <w:p>
      <w:pPr>
        <w:spacing w:after="60" w:before="40"/>
        <w:ind w:left="360"/>
      </w:pPr>
      <w:r>
        <w:rPr>
          <w:i/>
          <w:iCs/>
          <w:color w:val="b87c00"/>
          <w:sz w:val="18"/>
          <w:szCs w:val="18"/>
        </w:rPr>
        <w:t xml:space="preserve">⚑ Pending: Congressional vote records — Phase 6 political flip documentation</w:t>
      </w:r>
    </w:p>
    <w:p>
      <w:r>
        <w:br w:type="page"/>
      </w:r>
    </w:p>
    <w:p>
      <w:pPr>
        <w:pStyle w:val="Heading1"/>
        <w:spacing w:after="160" w:before="400"/>
      </w:pPr>
      <w:r>
        <w:rPr>
          <w:b/>
          <w:bCs/>
          <w:color w:val="1a1a2e"/>
          <w:sz w:val="32"/>
          <w:szCs w:val="32"/>
        </w:rPr>
        <w:t xml:space="preserve">PHASE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Phase 1 — Shell &amp; Architecture</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6b1a"/>
                <w:sz w:val="20"/>
                <w:szCs w:val="20"/>
              </w:rPr>
              <w:t xml:space="preserve">✓ Complete</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v1–v3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Phase 2 — Asset Managers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6b1a"/>
                <w:sz w:val="20"/>
                <w:szCs w:val="20"/>
              </w:rPr>
              <w:t xml:space="preserve">✓ Substantially Complete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Content written, visuals built, sources verified. SEC 13F cross-ownership percentages to confirm.</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Phase 3a — H-1B Visa</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b87c00"/>
                <w:sz w:val="20"/>
                <w:szCs w:val="20"/>
              </w:rPr>
              <w:t xml:space="preserve">🔶 Partial</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Sponsor table live. Scale, wage, rubber-stamp, and visa-dependency data now verified and slotted. Approval trend chart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Phase 3b — H-2 Visa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b87c00"/>
                <w:sz w:val="20"/>
                <w:szCs w:val="20"/>
              </w:rPr>
              <w:t xml:space="preserve">🔶 Partial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Sponsor tables live. AEWR, housing, abuse, and enforcement data now verified and slotted. H-2B data remains thinner.</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Phase 4 — Corporate Layer</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8B0000"/>
                <w:sz w:val="20"/>
                <w:szCs w:val="20"/>
              </w:rPr>
              <w:t xml:space="preserve">⬜ Pending</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Structure built. USASpending, OpenSecrets, FEC, EPI wage savings not yet pulled. Asset-manager tie-in flags identified.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Phase 5 — Dichotomy of Truth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b87c00"/>
                <w:sz w:val="20"/>
                <w:szCs w:val="20"/>
              </w:rPr>
              <w:t xml:space="preserve">🔶 Partial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Renamed from Dichotomy of Extraction. Four panels (H-1B worker, H-1B American, H-2 worker, H-2 American) fully populated with verified data. Chain node labels updated.</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Phase 6 — Political Flip</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8B0000"/>
                <w:sz w:val="20"/>
                <w:szCs w:val="20"/>
              </w:rPr>
              <w:t xml:space="preserve">⬜ Pending</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b w:val="false"/>
                <w:bCs w:val="false"/>
                <w:color w:val="1a1a2e"/>
                <w:sz w:val="20"/>
                <w:szCs w:val="20"/>
              </w:rPr>
              <w:t xml:space="preserve">Placeholder text and structure in place. Full research 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Phase 7 — Polish &amp; Distribution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8B0000"/>
                <w:sz w:val="20"/>
                <w:szCs w:val="20"/>
              </w:rPr>
              <w:t xml:space="preserve">⬜ Pending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2e"/>
                <w:sz w:val="20"/>
                <w:szCs w:val="20"/>
              </w:rPr>
              <w:t xml:space="preserve">Mobile check, copy edit, presenter test, standalone test, export.</w:t>
            </w:r>
          </w:p>
        </w:tc>
      </w:tr>
    </w:tbl>
    <w:p>
      <w:r>
        <w:br w:type="page"/>
      </w:r>
    </w:p>
    <w:p>
      <w:pPr>
        <w:pStyle w:val="Heading1"/>
        <w:spacing w:after="160" w:before="400"/>
      </w:pPr>
      <w:r>
        <w:rPr>
          <w:b/>
          <w:bCs/>
          <w:color w:val="1a1a2e"/>
          <w:sz w:val="32"/>
          <w:szCs w:val="32"/>
        </w:rPr>
        <w:t xml:space="preserve">BUILD RULES (Unchanged)</w:t>
      </w:r>
    </w:p>
    <w:p>
      <w:pPr>
        <w:spacing w:after="40" w:before="40"/>
        <w:ind w:left="360" w:hanging="200"/>
      </w:pPr>
      <w:r>
        <w:rPr>
          <w:sz w:val="21"/>
          <w:szCs w:val="21"/>
        </w:rPr>
        <w:t xml:space="preserve">•  Build one phase at a time</w:t>
      </w:r>
    </w:p>
    <w:p>
      <w:pPr>
        <w:spacing w:after="40" w:before="40"/>
        <w:ind w:left="360" w:hanging="200"/>
      </w:pPr>
      <w:r>
        <w:rPr>
          <w:sz w:val="21"/>
          <w:szCs w:val="21"/>
        </w:rPr>
        <w:t xml:space="preserve">•  Research before building — verify all figures before hardcoding</w:t>
      </w:r>
    </w:p>
    <w:p>
      <w:pPr>
        <w:spacing w:after="40" w:before="40"/>
        <w:ind w:left="360" w:hanging="200"/>
      </w:pPr>
      <w:r>
        <w:rPr>
          <w:sz w:val="21"/>
          <w:szCs w:val="21"/>
        </w:rPr>
        <w:t xml:space="preserve">•  Iterate on feedback — each round produces a revised file, not a new document</w:t>
      </w:r>
    </w:p>
    <w:p>
      <w:pPr>
        <w:spacing w:after="40" w:before="40"/>
        <w:ind w:left="360" w:hanging="200"/>
      </w:pPr>
      <w:r>
        <w:rPr>
          <w:sz w:val="21"/>
          <w:szCs w:val="21"/>
        </w:rPr>
        <w:t xml:space="preserve">•  No claim without a primary source</w:t>
      </w:r>
    </w:p>
    <w:p>
      <w:pPr>
        <w:spacing w:after="40" w:before="40"/>
        <w:ind w:left="360" w:hanging="200"/>
      </w:pPr>
      <w:r>
        <w:rPr>
          <w:sz w:val="21"/>
          <w:szCs w:val="21"/>
        </w:rPr>
        <w:t xml:space="preserve">•  Single HTML file — no install, no login, no internet required after initial load</w:t>
      </w:r>
    </w:p>
    <w:p>
      <w:pPr>
        <w:spacing w:after="40" w:before="40"/>
        <w:ind w:left="360" w:hanging="200"/>
      </w:pPr>
      <w:r>
        <w:rPr>
          <w:sz w:val="21"/>
          <w:szCs w:val="21"/>
        </w:rPr>
        <w:t xml:space="preserve">•  The tool must work without explanation — a stranger opens it and understands it alone</w:t>
      </w:r>
    </w:p>
    <w:p>
      <w:pPr>
        <w:spacing w:after="40" w:before="40"/>
        <w:ind w:left="360" w:hanging="200"/>
      </w:pPr>
      <w:r>
        <w:rPr>
          <w:sz w:val="21"/>
          <w:szCs w:val="21"/>
        </w:rPr>
        <w:t xml:space="preserve">•  Persuasive to both left and right audiences by focusing on shared incentive structures, not partisan framing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2026-04-17T02:36:23.125Z</dcterms:created>
  <dcterms:modified xsi:type="dcterms:W3CDTF">2026-04-17T02:36:23.126Z</dcterms:modified>
</cp:coreProperties>
</file>

<file path=docProps/custom.xml><?xml version="1.0" encoding="utf-8"?>
<Properties xmlns="http://schemas.openxmlformats.org/officeDocument/2006/custom-properties" xmlns:vt="http://schemas.openxmlformats.org/officeDocument/2006/docPropsVTypes"/>
</file>