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F0DDC" w14:textId="77777777" w:rsidR="00872A04" w:rsidRDefault="00872A04" w:rsidP="00872A04">
      <w:r>
        <w:t>BUILD INSTRUCTIONS — PROFESSOR BRAY MODULE</w:t>
      </w:r>
    </w:p>
    <w:p w14:paraId="16D39E05" w14:textId="77777777" w:rsidR="00872A04" w:rsidRDefault="00872A04" w:rsidP="00872A04"/>
    <w:p w14:paraId="4F61EB46" w14:textId="77777777" w:rsidR="00872A04" w:rsidRDefault="00872A04" w:rsidP="00872A04">
      <w:r>
        <w:t>This document is the authoritative source for architectural and design decisions on the Professor Bray module of The Manufactured Divide. It is intended to be read by Claude Code when the website is built, and to preserve the design rationale for future reference. The design is driven by the data shape and the target audience, not by a visual template inherited from the Visa Incentive Machine module.</w:t>
      </w:r>
    </w:p>
    <w:p w14:paraId="7A8BC4E0" w14:textId="77777777" w:rsidR="00872A04" w:rsidRDefault="00872A04" w:rsidP="00872A04"/>
    <w:p w14:paraId="5F0CCD85" w14:textId="77777777" w:rsidR="00872A04" w:rsidRDefault="00872A04" w:rsidP="00872A04">
      <w:r>
        <w:t>When this document and the research document (Exactions_Utilities_Research.docx) conflict on architectural or layout decisions, this document is authoritative.</w:t>
      </w:r>
    </w:p>
    <w:p w14:paraId="093542CF" w14:textId="77777777" w:rsidR="00872A04" w:rsidRDefault="00872A04" w:rsidP="00872A04"/>
    <w:p w14:paraId="5B50AA5B" w14:textId="77777777" w:rsidR="00872A04" w:rsidRDefault="00872A04" w:rsidP="00872A04"/>
    <w:p w14:paraId="40A456E0" w14:textId="77777777" w:rsidR="00872A04" w:rsidRDefault="00872A04" w:rsidP="00872A04">
      <w:r>
        <w:t>ARCHITECTURAL POSITION</w:t>
      </w:r>
    </w:p>
    <w:p w14:paraId="7BA5A5D7" w14:textId="77777777" w:rsidR="00872A04" w:rsidRDefault="00872A04" w:rsidP="00872A04"/>
    <w:p w14:paraId="1CD81A79" w14:textId="77777777" w:rsidR="00872A04" w:rsidRDefault="00872A04" w:rsidP="00872A04">
      <w:r>
        <w:t>The Professor Bray module is the second module of The Manufactured Divide, sitting alongside the H-1B/H-2 Visa Incentive Machine module.</w:t>
      </w:r>
    </w:p>
    <w:p w14:paraId="297C670E" w14:textId="77777777" w:rsidR="00872A04" w:rsidRDefault="00872A04" w:rsidP="00872A04"/>
    <w:p w14:paraId="248A486C" w14:textId="77777777" w:rsidR="00872A04" w:rsidRDefault="00872A04" w:rsidP="00872A04">
      <w:r>
        <w:t>The home index (Incentive-Machine/index.html) contains a force-web of module nodes including a Professor Bray node. Clicking the node navigates to /professor-bray/index.html.</w:t>
      </w:r>
    </w:p>
    <w:p w14:paraId="680923E2" w14:textId="77777777" w:rsidR="00872A04" w:rsidRDefault="00872A04" w:rsidP="00872A04"/>
    <w:p w14:paraId="41B28E56" w14:textId="77777777" w:rsidR="00872A04" w:rsidRDefault="00872A04" w:rsidP="00872A04">
      <w:r>
        <w:t>The module is single-page. There are no sub-pages and no anchor navigation. The only nav element is a back-link to the main platform.</w:t>
      </w:r>
    </w:p>
    <w:p w14:paraId="7A0B4F08" w14:textId="77777777" w:rsidR="00872A04" w:rsidRDefault="00872A04" w:rsidP="00872A04"/>
    <w:p w14:paraId="1EE3E549" w14:textId="77777777" w:rsidR="00872A04" w:rsidRDefault="00872A04" w:rsidP="00872A04">
      <w:r>
        <w:t>Reference materials live at professor-bray/reference/ (module-scoped, not repo-scoped). The folder contains:</w:t>
      </w:r>
    </w:p>
    <w:p w14:paraId="27DFF345" w14:textId="77777777" w:rsidR="00872A04" w:rsidRDefault="00872A04" w:rsidP="00872A04">
      <w:r>
        <w:t>- Exaction-web.jpeg — web-optimized hero image, left side, 2400 x 1600</w:t>
      </w:r>
    </w:p>
    <w:p w14:paraId="5584580F" w14:textId="77777777" w:rsidR="00872A04" w:rsidRDefault="00872A04" w:rsidP="00872A04">
      <w:r>
        <w:t>- Utility-web.jpeg — web-optimized hero image, right side, 2400 x 1600</w:t>
      </w:r>
    </w:p>
    <w:p w14:paraId="513327EA" w14:textId="77777777" w:rsidR="00872A04" w:rsidRDefault="00872A04" w:rsidP="00872A04">
      <w:r>
        <w:t>- Exactions_Utilities_Research.docx — research source document</w:t>
      </w:r>
    </w:p>
    <w:p w14:paraId="328F2E80" w14:textId="77777777" w:rsidR="00872A04" w:rsidRDefault="00872A04" w:rsidP="00872A04">
      <w:r>
        <w:t>- build-instructions.docx — this document</w:t>
      </w:r>
    </w:p>
    <w:p w14:paraId="39F7ACF5" w14:textId="77777777" w:rsidR="00872A04" w:rsidRDefault="00872A04" w:rsidP="00872A04"/>
    <w:p w14:paraId="6DB2FF47" w14:textId="77777777" w:rsidR="00872A04" w:rsidRDefault="00872A04" w:rsidP="00872A04">
      <w:r>
        <w:t>Original high-resolution source images are not committed to the repository. They were deleted locally after web-optimized versions were generated.</w:t>
      </w:r>
    </w:p>
    <w:p w14:paraId="06F8438D" w14:textId="77777777" w:rsidR="00872A04" w:rsidRDefault="00872A04" w:rsidP="00872A04"/>
    <w:p w14:paraId="7D443C54" w14:textId="77777777" w:rsidR="00872A04" w:rsidRDefault="00872A04" w:rsidP="00872A04"/>
    <w:p w14:paraId="3DCB66FD" w14:textId="77777777" w:rsidR="00872A04" w:rsidRDefault="00872A04" w:rsidP="00872A04">
      <w:r>
        <w:t>ARCHITECTURAL MIRROR, NOT CONTENT MIRROR</w:t>
      </w:r>
    </w:p>
    <w:p w14:paraId="3F3AD725" w14:textId="77777777" w:rsidR="00872A04" w:rsidRDefault="00872A04" w:rsidP="00872A04"/>
    <w:p w14:paraId="4F5C7B1C" w14:textId="77777777" w:rsidR="00872A04" w:rsidRDefault="00872A04" w:rsidP="00872A04">
      <w:r>
        <w:t>The Professor Bray module mirrors the Visa Incentive Machine module's HTML scaffolding, nav structure, footer pattern, and dark aesthetic. It does not import content structure, thematic framings, or parallels from the Visa module. The Professor Bray module is a separate branch of The Manufactured Divide with its own subject and its own argument.</w:t>
      </w:r>
    </w:p>
    <w:p w14:paraId="29EBC4C1" w14:textId="77777777" w:rsidR="00872A04" w:rsidRDefault="00872A04" w:rsidP="00872A04"/>
    <w:p w14:paraId="54E7E2F3" w14:textId="77777777" w:rsidR="00872A04" w:rsidRDefault="00872A04" w:rsidP="00872A04">
      <w:r>
        <w:t>Do not import BlackRock, Vanguard, State Street, or any other connective tissue from the Visa module. The two modules share an architectural family and nothing else.</w:t>
      </w:r>
    </w:p>
    <w:p w14:paraId="5EFA5F04" w14:textId="77777777" w:rsidR="00872A04" w:rsidRDefault="00872A04" w:rsidP="00872A04"/>
    <w:p w14:paraId="461BF505" w14:textId="77777777" w:rsidR="00872A04" w:rsidRDefault="00872A04" w:rsidP="00872A04"/>
    <w:p w14:paraId="39938F1E" w14:textId="77777777" w:rsidR="00872A04" w:rsidRDefault="00872A04" w:rsidP="00872A04">
      <w:r>
        <w:t>PAGE ORDER</w:t>
      </w:r>
    </w:p>
    <w:p w14:paraId="6CE6449E" w14:textId="77777777" w:rsidR="00872A04" w:rsidRDefault="00872A04" w:rsidP="00872A04"/>
    <w:p w14:paraId="58E34F9E" w14:textId="77777777" w:rsidR="00872A04" w:rsidRDefault="00872A04" w:rsidP="00872A04">
      <w:r>
        <w:t>Top to bottom:</w:t>
      </w:r>
    </w:p>
    <w:p w14:paraId="237241BB" w14:textId="77777777" w:rsidR="00872A04" w:rsidRDefault="00872A04" w:rsidP="00872A04"/>
    <w:p w14:paraId="71507AE6" w14:textId="77777777" w:rsidR="00872A04" w:rsidRDefault="00872A04" w:rsidP="00872A04">
      <w:r>
        <w:t>1. Hero (split, full viewport)</w:t>
      </w:r>
    </w:p>
    <w:p w14:paraId="3787ACD6" w14:textId="77777777" w:rsidR="00872A04" w:rsidRDefault="00872A04" w:rsidP="00872A04">
      <w:r>
        <w:t>2. For Professor Bray</w:t>
      </w:r>
    </w:p>
    <w:p w14:paraId="6AFE5B24" w14:textId="77777777" w:rsidR="00872A04" w:rsidRDefault="00872A04" w:rsidP="00872A04">
      <w:r>
        <w:lastRenderedPageBreak/>
        <w:t>3. Legal Foundation — In Short</w:t>
      </w:r>
    </w:p>
    <w:p w14:paraId="3AFB6645" w14:textId="77777777" w:rsidR="00872A04" w:rsidRDefault="00872A04" w:rsidP="00872A04">
      <w:r>
        <w:t>4. Identified Patterns</w:t>
      </w:r>
    </w:p>
    <w:p w14:paraId="598F3803" w14:textId="77777777" w:rsidR="00872A04" w:rsidRDefault="00872A04" w:rsidP="00872A04">
      <w:r>
        <w:t>5. Diagram (two vertical diagrams side by side, Exactions left, Utilities right)</w:t>
      </w:r>
    </w:p>
    <w:p w14:paraId="6664A7D9" w14:textId="77777777" w:rsidR="00872A04" w:rsidRDefault="00872A04" w:rsidP="00872A04">
      <w:r>
        <w:t>6. Jurisdictional Fragmentation (full width, visually distinct, with left accent bar)</w:t>
      </w:r>
    </w:p>
    <w:p w14:paraId="3E882B17" w14:textId="77777777" w:rsidR="00872A04" w:rsidRDefault="00872A04" w:rsidP="00872A04">
      <w:r>
        <w:t>7. Recruits and Placements (split: Exactions left, Utilities right)</w:t>
      </w:r>
    </w:p>
    <w:p w14:paraId="08E9E37B" w14:textId="77777777" w:rsidR="00872A04" w:rsidRDefault="00872A04" w:rsidP="00872A04">
      <w:r>
        <w:t>8. Culture and the Asymmetry of Legibility (full width)</w:t>
      </w:r>
    </w:p>
    <w:p w14:paraId="0FC89C29" w14:textId="77777777" w:rsidR="00872A04" w:rsidRDefault="00872A04" w:rsidP="00872A04">
      <w:r>
        <w:t>9. Footer</w:t>
      </w:r>
    </w:p>
    <w:p w14:paraId="1E1B8665" w14:textId="77777777" w:rsidR="00872A04" w:rsidRDefault="00872A04" w:rsidP="00872A04"/>
    <w:p w14:paraId="20FF9EB2" w14:textId="77777777" w:rsidR="00872A04" w:rsidRDefault="00872A04" w:rsidP="00872A04">
      <w:r>
        <w:t>The Jurisdictional Fragmentation panel sits between the Diagram and the split Recruits and Placements panels, NOT below them. This was a contradiction with the original research document Section 8 placement instruction; this document supersedes that instruction.</w:t>
      </w:r>
    </w:p>
    <w:p w14:paraId="0977C984" w14:textId="77777777" w:rsidR="00872A04" w:rsidRDefault="00872A04" w:rsidP="00872A04"/>
    <w:p w14:paraId="537A7EEE" w14:textId="77777777" w:rsidR="00872A04" w:rsidRDefault="00872A04" w:rsidP="00872A04">
      <w:r>
        <w:t>The background behind all panels is a single charcoal fill (var(--bg-page)) from below the hero through the footer. The split treatment lives in the hero only.</w:t>
      </w:r>
    </w:p>
    <w:p w14:paraId="1D645039" w14:textId="77777777" w:rsidR="00872A04" w:rsidRDefault="00872A04" w:rsidP="00872A04"/>
    <w:p w14:paraId="2C66536E" w14:textId="77777777" w:rsidR="00872A04" w:rsidRDefault="00872A04" w:rsidP="00872A04"/>
    <w:p w14:paraId="6C9B69B1" w14:textId="77777777" w:rsidR="00872A04" w:rsidRDefault="00872A04" w:rsidP="00872A04">
      <w:r>
        <w:t>HERO</w:t>
      </w:r>
    </w:p>
    <w:p w14:paraId="21329720" w14:textId="77777777" w:rsidR="00872A04" w:rsidRDefault="00872A04" w:rsidP="00872A04"/>
    <w:p w14:paraId="2CDC68CA" w14:textId="77777777" w:rsidR="00872A04" w:rsidRDefault="00872A04" w:rsidP="00872A04">
      <w:r>
        <w:t>Split hero, Exaction left, Utility right.</w:t>
      </w:r>
    </w:p>
    <w:p w14:paraId="1EACCFC6" w14:textId="77777777" w:rsidR="00872A04" w:rsidRDefault="00872A04" w:rsidP="00872A04"/>
    <w:p w14:paraId="66AB8FDB" w14:textId="77777777" w:rsidR="00872A04" w:rsidRDefault="00872A04" w:rsidP="00872A04">
      <w:r>
        <w:t>Desktop: full viewport (100vh). The two image halves each fill the viewport vertically. Initial page load shows only the hero — the first content panel (For Professor Bray) is fully below the fold.</w:t>
      </w:r>
    </w:p>
    <w:p w14:paraId="5EBAB5D9" w14:textId="77777777" w:rsidR="00872A04" w:rsidRDefault="00872A04" w:rsidP="00872A04"/>
    <w:p w14:paraId="3BDF3840" w14:textId="77777777" w:rsidR="00872A04" w:rsidRDefault="00872A04" w:rsidP="00872A04">
      <w:r>
        <w:t>Mobile (below 768px): stacked, Exaction on top, Utility below. Each half is 50vh so the two together fill the viewport on initial load.</w:t>
      </w:r>
    </w:p>
    <w:p w14:paraId="7D7DB0BC" w14:textId="77777777" w:rsidR="00872A04" w:rsidRDefault="00872A04" w:rsidP="00872A04"/>
    <w:p w14:paraId="59F2130F" w14:textId="77777777" w:rsidR="00872A04" w:rsidRDefault="00872A04" w:rsidP="00872A04">
      <w:r>
        <w:t>Image specifications:</w:t>
      </w:r>
    </w:p>
    <w:p w14:paraId="36D1FC8B" w14:textId="77777777" w:rsidR="00872A04" w:rsidRDefault="00872A04" w:rsidP="00872A04">
      <w:r>
        <w:t>- Source files in professor-bray/reference/</w:t>
      </w:r>
    </w:p>
    <w:p w14:paraId="30D22F06" w14:textId="77777777" w:rsidR="00872A04" w:rsidRDefault="00872A04" w:rsidP="00872A04">
      <w:r>
        <w:t>- Exaction-web.jpeg: North Port FL multifamily construction (bilanol, Adobe Stock)</w:t>
      </w:r>
    </w:p>
    <w:p w14:paraId="0A62BA72" w14:textId="77777777" w:rsidR="00872A04" w:rsidRDefault="00872A04" w:rsidP="00872A04">
      <w:r>
        <w:t>- Utility-web.jpeg: John Day Dam transmission and powerhouse on the Columbia River (davidrh, Adobe Stock)</w:t>
      </w:r>
    </w:p>
    <w:p w14:paraId="089762E9" w14:textId="77777777" w:rsidR="00872A04" w:rsidRDefault="00872A04" w:rsidP="00872A04"/>
    <w:p w14:paraId="32BA40AA" w14:textId="77777777" w:rsidR="00872A04" w:rsidRDefault="00872A04" w:rsidP="00872A04">
      <w:r>
        <w:t>Image positioning:</w:t>
      </w:r>
    </w:p>
    <w:p w14:paraId="2E4F8031" w14:textId="77777777" w:rsidR="00872A04" w:rsidRDefault="00872A04" w:rsidP="00872A04">
      <w:r>
        <w:t>- Exaction: background-position center left (crops from the right side to favor the foreground build site)</w:t>
      </w:r>
    </w:p>
    <w:p w14:paraId="3AF5A7C0" w14:textId="77777777" w:rsidR="00872A04" w:rsidRDefault="00872A04" w:rsidP="00872A04">
      <w:r>
        <w:t>- Utility: background-position center (the dam is roughly centered)</w:t>
      </w:r>
    </w:p>
    <w:p w14:paraId="7D314351" w14:textId="77777777" w:rsidR="00872A04" w:rsidRDefault="00872A04" w:rsidP="00872A04"/>
    <w:p w14:paraId="65F08112" w14:textId="77777777" w:rsidR="00872A04" w:rsidRDefault="00872A04" w:rsidP="00872A04">
      <w:r>
        <w:t>Both images carry a 30% black overlay. The overlay is set as a scoped value on the hero halves, not via the global --hero-overlay token (which remains at 20% for any other use).</w:t>
      </w:r>
    </w:p>
    <w:p w14:paraId="5694791D" w14:textId="77777777" w:rsidR="00872A04" w:rsidRDefault="00872A04" w:rsidP="00872A04"/>
    <w:p w14:paraId="18F724C1" w14:textId="77777777" w:rsidR="00872A04" w:rsidRDefault="00872A04" w:rsidP="00872A04">
      <w:r>
        <w:t>Hero labels:</w:t>
      </w:r>
    </w:p>
    <w:p w14:paraId="5C49C412" w14:textId="77777777" w:rsidR="00872A04" w:rsidRDefault="00872A04" w:rsidP="00872A04">
      <w:r>
        <w:t>- Left half: "Exactions"</w:t>
      </w:r>
    </w:p>
    <w:p w14:paraId="14F3DD14" w14:textId="77777777" w:rsidR="00872A04" w:rsidRDefault="00872A04" w:rsidP="00872A04">
      <w:r>
        <w:t>- Right half: "Utilities"</w:t>
      </w:r>
    </w:p>
    <w:p w14:paraId="6A750960" w14:textId="77777777" w:rsidR="00872A04" w:rsidRDefault="00872A04" w:rsidP="00872A04">
      <w:r>
        <w:t>- Vertically and horizontally centered in their respective halves</w:t>
      </w:r>
    </w:p>
    <w:p w14:paraId="26F5A229" w14:textId="77777777" w:rsidR="00872A04" w:rsidRDefault="00872A04" w:rsidP="00872A04">
      <w:r>
        <w:t>- Font size desktop: clamp(4rem, 8vw, 7rem)</w:t>
      </w:r>
    </w:p>
    <w:p w14:paraId="385AC328" w14:textId="77777777" w:rsidR="00872A04" w:rsidRDefault="00872A04" w:rsidP="00872A04">
      <w:r>
        <w:t>- Font size mobile: clamp(2.5rem, 10vw, 4rem)</w:t>
      </w:r>
    </w:p>
    <w:p w14:paraId="0CFD9B38" w14:textId="77777777" w:rsidR="00872A04" w:rsidRDefault="00872A04" w:rsidP="00872A04">
      <w:r>
        <w:t>- Bold weight (700)</w:t>
      </w:r>
    </w:p>
    <w:p w14:paraId="783863F8" w14:textId="77777777" w:rsidR="00872A04" w:rsidRDefault="00872A04" w:rsidP="00872A04">
      <w:r>
        <w:t>- Text-shadow: 0 2px 8px rgba(0, 0, 0, 0.6)</w:t>
      </w:r>
    </w:p>
    <w:p w14:paraId="26601CE1" w14:textId="77777777" w:rsidR="00872A04" w:rsidRDefault="00872A04" w:rsidP="00872A04">
      <w:r>
        <w:t>- Color: var(--text-body)</w:t>
      </w:r>
    </w:p>
    <w:p w14:paraId="504099E9" w14:textId="77777777" w:rsidR="00872A04" w:rsidRDefault="00872A04" w:rsidP="00872A04"/>
    <w:p w14:paraId="595D65FF" w14:textId="77777777" w:rsidR="00872A04" w:rsidRDefault="00872A04" w:rsidP="00872A04">
      <w:r>
        <w:t>Hard edge bottom transition to var(--bg-page). No fade.</w:t>
      </w:r>
    </w:p>
    <w:p w14:paraId="6F1EC61E" w14:textId="77777777" w:rsidR="00872A04" w:rsidRDefault="00872A04" w:rsidP="00872A04"/>
    <w:p w14:paraId="0AA36EFA" w14:textId="77777777" w:rsidR="00872A04" w:rsidRDefault="00872A04" w:rsidP="00872A04">
      <w:r>
        <w:t>The byline strip ("The Manufactured Divide · Professor Bray") that previously sat below the hero has been removed. Do not re-add it.</w:t>
      </w:r>
    </w:p>
    <w:p w14:paraId="3AE52CE2" w14:textId="77777777" w:rsidR="00872A04" w:rsidRDefault="00872A04" w:rsidP="00872A04"/>
    <w:p w14:paraId="04F7BF8F" w14:textId="77777777" w:rsidR="00872A04" w:rsidRDefault="00872A04" w:rsidP="00872A04"/>
    <w:p w14:paraId="2F7C822E" w14:textId="77777777" w:rsidR="00872A04" w:rsidRDefault="00872A04" w:rsidP="00872A04">
      <w:r>
        <w:t>COLOR PALETTE</w:t>
      </w:r>
    </w:p>
    <w:p w14:paraId="569ADF26" w14:textId="77777777" w:rsidR="00872A04" w:rsidRDefault="00872A04" w:rsidP="00872A04"/>
    <w:p w14:paraId="0E6F96BD" w14:textId="77777777" w:rsidR="00872A04" w:rsidRDefault="00872A04" w:rsidP="00872A04">
      <w:r>
        <w:t>Defined as CSS custom properties at :root:</w:t>
      </w:r>
    </w:p>
    <w:p w14:paraId="69F693A5" w14:textId="77777777" w:rsidR="00872A04" w:rsidRDefault="00872A04" w:rsidP="00872A04"/>
    <w:p w14:paraId="338B099E" w14:textId="77777777" w:rsidR="00872A04" w:rsidRDefault="00872A04" w:rsidP="00872A04">
      <w:r>
        <w:t>--bg-page: #1F1F26 (page background)</w:t>
      </w:r>
    </w:p>
    <w:p w14:paraId="77FCC2B8" w14:textId="77777777" w:rsidR="00872A04" w:rsidRDefault="00872A04" w:rsidP="00872A04">
      <w:r>
        <w:t>--bg-panel: #2A2A32 (panel interior fill)</w:t>
      </w:r>
    </w:p>
    <w:p w14:paraId="36C70242" w14:textId="77777777" w:rsidR="00872A04" w:rsidRDefault="00872A04" w:rsidP="00872A04">
      <w:r>
        <w:t>--border-scaffold: #555560 (temporary scaffolding borders during build, removed before launch)</w:t>
      </w:r>
    </w:p>
    <w:p w14:paraId="0BAE69BC" w14:textId="77777777" w:rsidR="00872A04" w:rsidRDefault="00872A04" w:rsidP="00872A04">
      <w:r>
        <w:t>--text-body: #F0EBE0 (body text)</w:t>
      </w:r>
    </w:p>
    <w:p w14:paraId="3D1AF6E9" w14:textId="77777777" w:rsidR="00872A04" w:rsidRDefault="00872A04" w:rsidP="00872A04">
      <w:r>
        <w:t>--text-muted: #A09A8E (secondary and disclosure text)</w:t>
      </w:r>
    </w:p>
    <w:p w14:paraId="4E7F2987" w14:textId="77777777" w:rsidR="00872A04" w:rsidRDefault="00872A04" w:rsidP="00872A04">
      <w:r>
        <w:t>--accent-exaction: #C4A56E (warm ochre, pulled from Exaction image lumber tones)</w:t>
      </w:r>
    </w:p>
    <w:p w14:paraId="7F68F48F" w14:textId="77777777" w:rsidR="00872A04" w:rsidRDefault="00872A04" w:rsidP="00872A04">
      <w:r>
        <w:t>--accent-utility: #4A6B7C (steel blue, pulled from Utility image infrastructure)</w:t>
      </w:r>
    </w:p>
    <w:p w14:paraId="787B0DF4" w14:textId="77777777" w:rsidR="00872A04" w:rsidRDefault="00872A04" w:rsidP="00872A04">
      <w:r>
        <w:t>--flag-hypothesis: #B8954A (muted gold, marks working hypothesis language)</w:t>
      </w:r>
    </w:p>
    <w:p w14:paraId="23D33B29" w14:textId="77777777" w:rsidR="00872A04" w:rsidRDefault="00872A04" w:rsidP="00872A04">
      <w:r>
        <w:t>--flag-research: #8B4A3C (muted rust, marks "needs research" items)</w:t>
      </w:r>
    </w:p>
    <w:p w14:paraId="79914E8F" w14:textId="77777777" w:rsidR="00872A04" w:rsidRDefault="00872A04" w:rsidP="00872A04">
      <w:r>
        <w:t>--hero-overlay: rgba(0, 0, 0, 0.20) (global token; hero halves use a scoped 30% black instead)</w:t>
      </w:r>
    </w:p>
    <w:p w14:paraId="567FCCC4" w14:textId="77777777" w:rsidR="00872A04" w:rsidRDefault="00872A04" w:rsidP="00872A04"/>
    <w:p w14:paraId="7FDF6EF7" w14:textId="77777777" w:rsidR="00872A04" w:rsidRDefault="00872A04" w:rsidP="00872A04"/>
    <w:p w14:paraId="39B0EBEC" w14:textId="77777777" w:rsidR="00872A04" w:rsidRDefault="00872A04" w:rsidP="00872A04">
      <w:r>
        <w:t>TYPOGRAPHY</w:t>
      </w:r>
    </w:p>
    <w:p w14:paraId="53578FAE" w14:textId="77777777" w:rsidR="00872A04" w:rsidRDefault="00872A04" w:rsidP="00872A04"/>
    <w:p w14:paraId="612FE2F8" w14:textId="77777777" w:rsidR="00872A04" w:rsidRDefault="00872A04" w:rsidP="00872A04">
      <w:r>
        <w:t>Body font stack:</w:t>
      </w:r>
    </w:p>
    <w:p w14:paraId="05233F5B" w14:textId="77777777" w:rsidR="00872A04" w:rsidRDefault="00872A04" w:rsidP="00872A04">
      <w:r>
        <w:t>font-family: -apple-system, BlinkMacSystemFont, "Segoe UI", "Helvetica Neue", Arial, sans-serif</w:t>
      </w:r>
    </w:p>
    <w:p w14:paraId="344231D1" w14:textId="77777777" w:rsidR="00872A04" w:rsidRDefault="00872A04" w:rsidP="00872A04"/>
    <w:p w14:paraId="6A7DFBC2" w14:textId="77777777" w:rsidR="00872A04" w:rsidRDefault="00872A04" w:rsidP="00872A04">
      <w:r>
        <w:t>Body settings:</w:t>
      </w:r>
    </w:p>
    <w:p w14:paraId="7E3043B3" w14:textId="77777777" w:rsidR="00872A04" w:rsidRDefault="00872A04" w:rsidP="00872A04">
      <w:r>
        <w:t>- font-size: 17px</w:t>
      </w:r>
    </w:p>
    <w:p w14:paraId="1CA21E65" w14:textId="77777777" w:rsidR="00872A04" w:rsidRDefault="00872A04" w:rsidP="00872A04">
      <w:r>
        <w:t>- font-weight: 450 (with 500 fallback if 450 does not render distinctly)</w:t>
      </w:r>
    </w:p>
    <w:p w14:paraId="1274BF9E" w14:textId="77777777" w:rsidR="00872A04" w:rsidRDefault="00872A04" w:rsidP="00872A04">
      <w:r>
        <w:t>- line-height: 1.7</w:t>
      </w:r>
    </w:p>
    <w:p w14:paraId="23E7C959" w14:textId="77777777" w:rsidR="00872A04" w:rsidRDefault="00872A04" w:rsidP="00872A04">
      <w:r>
        <w:t>- letter-spacing: 0.01em</w:t>
      </w:r>
    </w:p>
    <w:p w14:paraId="0E24109C" w14:textId="77777777" w:rsidR="00872A04" w:rsidRDefault="00872A04" w:rsidP="00872A04"/>
    <w:p w14:paraId="189DE9C5" w14:textId="77777777" w:rsidR="00872A04" w:rsidRDefault="00872A04" w:rsidP="00872A04">
      <w:r>
        <w:t>Headings (h1, h2, h3) use the same sans-serif stack as body. Heavier weight (600 to 700), larger sizes than body. Do not use serif fonts for headings.</w:t>
      </w:r>
    </w:p>
    <w:p w14:paraId="7D1DEDC6" w14:textId="77777777" w:rsidR="00872A04" w:rsidRDefault="00872A04" w:rsidP="00872A04"/>
    <w:p w14:paraId="0037C284" w14:textId="77777777" w:rsidR="00872A04" w:rsidRDefault="00872A04" w:rsidP="00872A04">
      <w:r>
        <w:t>Bold (&lt;strong&gt;) weight inside text panels: 600 (not the browser default, which is too aggressive against the body weight). This is currently scoped panel-by-panel via selectors like #legal-short strong { font-weight: 600 }. Extend the scoped selector when adding new text panels.</w:t>
      </w:r>
    </w:p>
    <w:p w14:paraId="762DDF8C" w14:textId="77777777" w:rsidR="00872A04" w:rsidRDefault="00872A04" w:rsidP="00872A04"/>
    <w:p w14:paraId="58E5F465" w14:textId="77777777" w:rsidR="00872A04" w:rsidRDefault="00872A04" w:rsidP="00872A04"/>
    <w:p w14:paraId="08DDBC8F" w14:textId="77777777" w:rsidR="00872A04" w:rsidRDefault="00872A04" w:rsidP="00872A04">
      <w:r>
        <w:t>PANEL WIDTHS AND LAYOUT</w:t>
      </w:r>
    </w:p>
    <w:p w14:paraId="3D9762B6" w14:textId="77777777" w:rsidR="00872A04" w:rsidRDefault="00872A04" w:rsidP="00872A04"/>
    <w:p w14:paraId="73B2B2C3" w14:textId="77777777" w:rsidR="00872A04" w:rsidRDefault="00872A04" w:rsidP="00872A04">
      <w:r>
        <w:t>Standard text panels — #bray-statement, #legal-short, #working-thesis, #law-school-combined:</w:t>
      </w:r>
    </w:p>
    <w:p w14:paraId="2980CA18" w14:textId="77777777" w:rsidR="00872A04" w:rsidRDefault="00872A04" w:rsidP="00872A04">
      <w:r>
        <w:t>- Panel max-width: 900px</w:t>
      </w:r>
    </w:p>
    <w:p w14:paraId="4CD5B9BC" w14:textId="77777777" w:rsidR="00872A04" w:rsidRDefault="00872A04" w:rsidP="00872A04">
      <w:r>
        <w:t>- Text reading column inside: 800px, centered with auto margins</w:t>
      </w:r>
    </w:p>
    <w:p w14:paraId="3E4331EC" w14:textId="77777777" w:rsidR="00872A04" w:rsidRDefault="00872A04" w:rsidP="00872A04">
      <w:r>
        <w:t>- Padding: approximately 2.5rem 2rem</w:t>
      </w:r>
    </w:p>
    <w:p w14:paraId="32DEEF4B" w14:textId="77777777" w:rsidR="00872A04" w:rsidRDefault="00872A04" w:rsidP="00872A04">
      <w:r>
        <w:t>- Vertical spacing between panels: approximately 2rem</w:t>
      </w:r>
    </w:p>
    <w:p w14:paraId="2D8EF1CE" w14:textId="77777777" w:rsidR="00872A04" w:rsidRDefault="00872A04" w:rsidP="00872A04"/>
    <w:p w14:paraId="5FDF3258" w14:textId="77777777" w:rsidR="00872A04" w:rsidRDefault="00872A04" w:rsidP="00872A04">
      <w:r>
        <w:t>Wide panels — #diagram, #jurisdictional-fragmentation:</w:t>
      </w:r>
    </w:p>
    <w:p w14:paraId="109B30E4" w14:textId="77777777" w:rsidR="00872A04" w:rsidRDefault="00872A04" w:rsidP="00872A04">
      <w:r>
        <w:t>- Panel max-width: 1400px</w:t>
      </w:r>
    </w:p>
    <w:p w14:paraId="2CAF42EB" w14:textId="77777777" w:rsidR="00872A04" w:rsidRDefault="00872A04" w:rsidP="00872A04">
      <w:r>
        <w:t>- Text reading column inside: 800px, centered</w:t>
      </w:r>
    </w:p>
    <w:p w14:paraId="5AA6EBAA" w14:textId="77777777" w:rsidR="00872A04" w:rsidRDefault="00872A04" w:rsidP="00872A04">
      <w:r>
        <w:lastRenderedPageBreak/>
        <w:t>- For #jurisdictional-fragmentation, the inner content is wrapped in a &lt;div class="frag-col"&gt; which carries the centered max-width and the left accent bar treatment</w:t>
      </w:r>
    </w:p>
    <w:p w14:paraId="50ABBEBC" w14:textId="77777777" w:rsidR="00872A04" w:rsidRDefault="00872A04" w:rsidP="00872A04"/>
    <w:p w14:paraId="67C1144D" w14:textId="77777777" w:rsidR="00872A04" w:rsidRDefault="00872A04" w:rsidP="00872A04">
      <w:r>
        <w:t>Split law school panel — #law-school-split:</w:t>
      </w:r>
    </w:p>
    <w:p w14:paraId="7534BE4A" w14:textId="77777777" w:rsidR="00872A04" w:rsidRDefault="00872A04" w:rsidP="00872A04">
      <w:r>
        <w:t>- Panel max-width: 1100px (override applied so it does not shrink with the standard text panels)</w:t>
      </w:r>
    </w:p>
    <w:p w14:paraId="03750171" w14:textId="77777777" w:rsidR="00872A04" w:rsidRDefault="00872A04" w:rsidP="00872A04">
      <w:r>
        <w:t>- Two sub-panels side by side on desktop, stacked on mobile</w:t>
      </w:r>
    </w:p>
    <w:p w14:paraId="3AC4F663" w14:textId="77777777" w:rsidR="00872A04" w:rsidRDefault="00872A04" w:rsidP="00872A04"/>
    <w:p w14:paraId="312CFF7E" w14:textId="77777777" w:rsidR="00872A04" w:rsidRDefault="00872A04" w:rsidP="00872A04">
      <w:r>
        <w:t>Mobile (below 768px): all panel max-widths adjust to calc(100% - 2rem) with 1rem horizontal page margin. The 800px text column constraint becomes effectively the full panel width at this breakpoint.</w:t>
      </w:r>
    </w:p>
    <w:p w14:paraId="26526236" w14:textId="77777777" w:rsidR="00872A04" w:rsidRDefault="00872A04" w:rsidP="00872A04"/>
    <w:p w14:paraId="418E7880" w14:textId="77777777" w:rsidR="00872A04" w:rsidRDefault="00872A04" w:rsidP="00872A04"/>
    <w:p w14:paraId="11B199E6" w14:textId="77777777" w:rsidR="00872A04" w:rsidRDefault="00872A04" w:rsidP="00872A04">
      <w:r>
        <w:t>CONTENT PATTERNS</w:t>
      </w:r>
    </w:p>
    <w:p w14:paraId="6569C666" w14:textId="77777777" w:rsidR="00872A04" w:rsidRDefault="00872A04" w:rsidP="00872A04"/>
    <w:p w14:paraId="25ED1996" w14:textId="77777777" w:rsidR="00872A04" w:rsidRDefault="00872A04" w:rsidP="00872A04">
      <w:r>
        <w:t>Lead-in / continuation pattern (used in Legal Foundation panel):</w:t>
      </w:r>
    </w:p>
    <w:p w14:paraId="13FB63DD" w14:textId="77777777" w:rsidR="00872A04" w:rsidRDefault="00872A04" w:rsidP="00872A04">
      <w:r>
        <w:t>HTML: &lt;p class="lead-in"&gt;&lt;strong&gt;Title.&lt;/strong&gt;&lt;/p&gt; followed by &lt;p class="continuation"&gt;Body text.&lt;/p&gt;</w:t>
      </w:r>
    </w:p>
    <w:p w14:paraId="2E32DCFE" w14:textId="77777777" w:rsidR="00872A04" w:rsidRDefault="00872A04" w:rsidP="00872A04">
      <w:r>
        <w:t>The bold lead-in sits on its own line as a sub-heading; the continuation paragraph follows. This pattern works for named lead-ins (e.g., "Exaction:", "The case sequence.").</w:t>
      </w:r>
    </w:p>
    <w:p w14:paraId="7054CF97" w14:textId="77777777" w:rsidR="00872A04" w:rsidRDefault="00872A04" w:rsidP="00872A04"/>
    <w:p w14:paraId="00ACD376" w14:textId="77777777" w:rsidR="00872A04" w:rsidRDefault="00872A04" w:rsidP="00872A04">
      <w:r>
        <w:t>Numbered point pattern (used in Identified Patterns panel):</w:t>
      </w:r>
    </w:p>
    <w:p w14:paraId="0139163C" w14:textId="77777777" w:rsidR="00872A04" w:rsidRDefault="00872A04" w:rsidP="00872A04">
      <w:r>
        <w:t>HTML: &lt;p class="numbered-point"&gt;&lt;strong&gt;1.&lt;/strong&gt; Body text.&lt;/p&gt;</w:t>
      </w:r>
    </w:p>
    <w:p w14:paraId="0616B067" w14:textId="77777777" w:rsidR="00872A04" w:rsidRDefault="00872A04" w:rsidP="00872A04">
      <w:r>
        <w:t>The number sits inline with the text, not on its own line. This pattern is used for bare numeric lists where the number is a tag rather than a sub-heading.</w:t>
      </w:r>
    </w:p>
    <w:p w14:paraId="2F7A0BAA" w14:textId="77777777" w:rsidR="00872A04" w:rsidRDefault="00872A04" w:rsidP="00872A04"/>
    <w:p w14:paraId="781E3259" w14:textId="77777777" w:rsidR="00872A04" w:rsidRDefault="00872A04" w:rsidP="00872A04">
      <w:r>
        <w:t>Subtitle pattern (used in Identified Patterns and Jurisdictional Fragmentation):</w:t>
      </w:r>
    </w:p>
    <w:p w14:paraId="397E6CE7" w14:textId="77777777" w:rsidR="00872A04" w:rsidRDefault="00872A04" w:rsidP="00872A04">
      <w:r>
        <w:t>HTML: &lt;p class="subtitle"&gt;Subtitle text.&lt;/p&gt;</w:t>
      </w:r>
    </w:p>
    <w:p w14:paraId="4224BB66" w14:textId="77777777" w:rsidR="00872A04" w:rsidRDefault="00872A04" w:rsidP="00872A04">
      <w:r>
        <w:t>Italic, color var(--text-muted). Sits directly under the panel &lt;h2&gt;.</w:t>
      </w:r>
    </w:p>
    <w:p w14:paraId="16361DF6" w14:textId="77777777" w:rsidR="00872A04" w:rsidRDefault="00872A04" w:rsidP="00872A04"/>
    <w:p w14:paraId="35281B0B" w14:textId="77777777" w:rsidR="00872A04" w:rsidRDefault="00872A04" w:rsidP="00872A04">
      <w:r>
        <w:t>Working hypothesis flag:</w:t>
      </w:r>
    </w:p>
    <w:p w14:paraId="5EA24312" w14:textId="77777777" w:rsidR="00872A04" w:rsidRDefault="00872A04" w:rsidP="00872A04">
      <w:r>
        <w:t>HTML: &lt;span class="hypothesis-flag"&gt;(Working hypothesis.)&lt;/span&gt;</w:t>
      </w:r>
    </w:p>
    <w:p w14:paraId="11F3EDB9" w14:textId="77777777" w:rsidR="00872A04" w:rsidRDefault="00872A04" w:rsidP="00872A04">
      <w:r>
        <w:t>Color var(--flag-hypothesis), italic, slightly smaller font-size (~0.9em). Used inline at the end of provisional paragraphs.</w:t>
      </w:r>
    </w:p>
    <w:p w14:paraId="55F38010" w14:textId="77777777" w:rsidR="00872A04" w:rsidRDefault="00872A04" w:rsidP="00872A04"/>
    <w:p w14:paraId="7984C5F1" w14:textId="77777777" w:rsidR="00872A04" w:rsidRDefault="00872A04" w:rsidP="00872A04">
      <w:r>
        <w:t>Case names: wrapped in &lt;em&gt; for italic. Example: &lt;em&gt;Nollan v. California Coastal Commission&lt;/em&gt;.</w:t>
      </w:r>
    </w:p>
    <w:p w14:paraId="75AAB079" w14:textId="77777777" w:rsidR="00872A04" w:rsidRDefault="00872A04" w:rsidP="00872A04"/>
    <w:p w14:paraId="304110D0" w14:textId="77777777" w:rsidR="00872A04" w:rsidRDefault="00872A04" w:rsidP="00872A04"/>
    <w:p w14:paraId="4B2EC2F8" w14:textId="77777777" w:rsidR="00872A04" w:rsidRDefault="00872A04" w:rsidP="00872A04">
      <w:r>
        <w:t>JURISDICTIONAL FRAGMENTATION VISUAL TREATMENT</w:t>
      </w:r>
    </w:p>
    <w:p w14:paraId="5BFA81E7" w14:textId="77777777" w:rsidR="00872A04" w:rsidRDefault="00872A04" w:rsidP="00872A04"/>
    <w:p w14:paraId="345664A5" w14:textId="77777777" w:rsidR="00872A04" w:rsidRDefault="00872A04" w:rsidP="00872A04">
      <w:r>
        <w:t>The panel uses a left accent bar to signal it is an observation layer rather than a standard content panel.</w:t>
      </w:r>
    </w:p>
    <w:p w14:paraId="715FCCBB" w14:textId="77777777" w:rsidR="00872A04" w:rsidRDefault="00872A04" w:rsidP="00872A04"/>
    <w:p w14:paraId="033E0405" w14:textId="77777777" w:rsidR="00872A04" w:rsidRDefault="00872A04" w:rsidP="00872A04">
      <w:r>
        <w:t>Implementation:</w:t>
      </w:r>
    </w:p>
    <w:p w14:paraId="7D2CDE72" w14:textId="77777777" w:rsidR="00872A04" w:rsidRDefault="00872A04" w:rsidP="00872A04">
      <w:r>
        <w:t>- Panel content wrapped in &lt;div class="frag-col"&gt;</w:t>
      </w:r>
    </w:p>
    <w:p w14:paraId="3D5EC92E" w14:textId="77777777" w:rsidR="00872A04" w:rsidRDefault="00872A04" w:rsidP="00872A04">
      <w:r>
        <w:t>- The wrapper carries: max-width 800px, margin auto (centered), border-left 4px solid #6B6B75, padding-left 2.5rem (compensates for the bar)</w:t>
      </w:r>
    </w:p>
    <w:p w14:paraId="7858CD96" w14:textId="77777777" w:rsidR="00872A04" w:rsidRDefault="00872A04" w:rsidP="00872A04">
      <w:r>
        <w:t>- Outer panel container retains its 1400px max-width and standard panel background</w:t>
      </w:r>
    </w:p>
    <w:p w14:paraId="01D3F892" w14:textId="77777777" w:rsidR="00872A04" w:rsidRDefault="00872A04" w:rsidP="00872A04">
      <w:r>
        <w:t>- The accent bar is anchored to the left edge of the centered text column, not the outer panel edge</w:t>
      </w:r>
    </w:p>
    <w:p w14:paraId="3BF39CEE" w14:textId="77777777" w:rsidR="00872A04" w:rsidRDefault="00872A04" w:rsidP="00872A04"/>
    <w:p w14:paraId="0BD83088" w14:textId="77777777" w:rsidR="00872A04" w:rsidRDefault="00872A04" w:rsidP="00872A04"/>
    <w:p w14:paraId="7FCA8242" w14:textId="77777777" w:rsidR="00872A04" w:rsidRDefault="00872A04" w:rsidP="00872A04">
      <w:r>
        <w:t>DIAGRAM ARCHITECTURE</w:t>
      </w:r>
    </w:p>
    <w:p w14:paraId="16F4084D" w14:textId="77777777" w:rsidR="00872A04" w:rsidRDefault="00872A04" w:rsidP="00872A04"/>
    <w:p w14:paraId="2AEF4239" w14:textId="77777777" w:rsidR="00872A04" w:rsidRDefault="00872A04" w:rsidP="00872A04">
      <w:r>
        <w:t>Two vertical diagrams side by side. Exactions left, Utilities right.</w:t>
      </w:r>
    </w:p>
    <w:p w14:paraId="37CC4CCA" w14:textId="77777777" w:rsidR="00872A04" w:rsidRDefault="00872A04" w:rsidP="00872A04"/>
    <w:p w14:paraId="33AAB12F" w14:textId="77777777" w:rsidR="00872A04" w:rsidRDefault="00872A04" w:rsidP="00872A04">
      <w:r>
        <w:t>Three tiers per diagram (Option B, locked):</w:t>
      </w:r>
    </w:p>
    <w:p w14:paraId="365C1CB6" w14:textId="77777777" w:rsidR="00872A04" w:rsidRDefault="00872A04" w:rsidP="00872A04">
      <w:r>
        <w:t>- Top tier: Government. Architectural apex. The entity that writes rules, grants permits, sets rate-of-return, authorizes exactions, funds tax credits. Agency names only, no logos (HUD, FERC, state PUCs, city councils, IRS, state housing agencies).</w:t>
      </w:r>
    </w:p>
    <w:p w14:paraId="06C63448" w14:textId="77777777" w:rsidR="00872A04" w:rsidRDefault="00872A04" w:rsidP="00872A04">
      <w:r>
        <w:t>- Middle tier: Companies. Operational extraction layer. Where money accumulates and where decisions get executed. Company logos live here.</w:t>
      </w:r>
    </w:p>
    <w:p w14:paraId="7CD0708A" w14:textId="77777777" w:rsidR="00872A04" w:rsidRDefault="00872A04" w:rsidP="00872A04">
      <w:r>
        <w:t>- Bottom tier: American People. Source of all money and the nominal intended beneficiary. Abstract labels only, no names (American taxpayers, ratepayers, buyers/renters, tenants).</w:t>
      </w:r>
    </w:p>
    <w:p w14:paraId="637A5BC9" w14:textId="77777777" w:rsidR="00872A04" w:rsidRDefault="00872A04" w:rsidP="00872A04"/>
    <w:p w14:paraId="68201F62" w14:textId="77777777" w:rsidR="00872A04" w:rsidRDefault="00872A04" w:rsidP="00872A04">
      <w:r>
        <w:t>This version of the diagram argues: government is the root of the architecture; companies are the mechanism through which extraction is executed; the people pay and are the nominal justification.</w:t>
      </w:r>
    </w:p>
    <w:p w14:paraId="3360EBFD" w14:textId="77777777" w:rsidR="00872A04" w:rsidRDefault="00872A04" w:rsidP="00872A04"/>
    <w:p w14:paraId="284A0647" w14:textId="77777777" w:rsidR="00872A04" w:rsidRDefault="00872A04" w:rsidP="00872A04">
      <w:r>
        <w:t>Arrow direction convention (held consistently across both diagrams):</w:t>
      </w:r>
    </w:p>
    <w:p w14:paraId="3ADFA291" w14:textId="77777777" w:rsidR="00872A04" w:rsidRDefault="00872A04" w:rsidP="00872A04">
      <w:r>
        <w:t>- Left side of each diagram = upward flows (money moving up: taxes, fees, assessments, rates, rent, purchase prices, hidden fees, lobbying)</w:t>
      </w:r>
    </w:p>
    <w:p w14:paraId="306C672C" w14:textId="77777777" w:rsidR="00872A04" w:rsidRDefault="00872A04" w:rsidP="00872A04">
      <w:r>
        <w:t>- Right side of each diagram = downward flows (authority, permits, rate-of-return authorizations, subsidies, tax credits, Section 8 payments, LIHTC equity, eminent domain grants, liability shields, services)</w:t>
      </w:r>
    </w:p>
    <w:p w14:paraId="49BEDC4C" w14:textId="77777777" w:rsidR="00872A04" w:rsidRDefault="00872A04" w:rsidP="00872A04"/>
    <w:p w14:paraId="3A163D3B" w14:textId="77777777" w:rsidR="00872A04" w:rsidRDefault="00872A04" w:rsidP="00872A04">
      <w:r>
        <w:t>Arrow weighting: visual weight proportional to dollar flow. Thick arrows for major flows, thin arrows for lobbying. Where line-weight is insufficient to carry the distinction, color can supplement. Multiple arrows between the same two tiers are permitted and encouraged where the data supports them.</w:t>
      </w:r>
    </w:p>
    <w:p w14:paraId="0237D050" w14:textId="77777777" w:rsidR="00872A04" w:rsidRDefault="00872A04" w:rsidP="00872A04"/>
    <w:p w14:paraId="323F324E" w14:textId="77777777" w:rsidR="00872A04" w:rsidRDefault="00872A04" w:rsidP="00872A04">
      <w:r>
        <w:t>Arrow labels: short. On desktop, hover opens a context box with full detail. On mobile and touch devices, click-to-toggle delivers the same expansion. The short label keeps the diagram readable; the expansion layer carries the evidence (mechanism description, dollar magnitudes where known, program names, case citations, source links).</w:t>
      </w:r>
    </w:p>
    <w:p w14:paraId="3D799861" w14:textId="77777777" w:rsidR="00872A04" w:rsidRDefault="00872A04" w:rsidP="00872A04"/>
    <w:p w14:paraId="7CD79B00" w14:textId="77777777" w:rsidR="00872A04" w:rsidRDefault="00872A04" w:rsidP="00872A04">
      <w:r>
        <w:t>LIHTC + Section 8 double extraction, solar PPA lock-in, HOA declarant control / bulk contracts, D.R. Horton build-quality pattern, utility CapEx-vs-OpEx asymmetry, and other mechanism detail documented in the research document live as arrow expansions, not as separate page sections.</w:t>
      </w:r>
    </w:p>
    <w:p w14:paraId="76624010" w14:textId="77777777" w:rsidR="00872A04" w:rsidRDefault="00872A04" w:rsidP="00872A04"/>
    <w:p w14:paraId="3240A9C3" w14:textId="77777777" w:rsidR="00872A04" w:rsidRDefault="00872A04" w:rsidP="00872A04">
      <w:r>
        <w:t>Company logos:</w:t>
      </w:r>
    </w:p>
    <w:p w14:paraId="75BD72BB" w14:textId="77777777" w:rsidR="00872A04" w:rsidRDefault="00872A04" w:rsidP="00872A04">
      <w:r>
        <w:t>- Placement: middle tier only (Companies)</w:t>
      </w:r>
    </w:p>
    <w:p w14:paraId="7FE7686A" w14:textId="77777777" w:rsidR="00872A04" w:rsidRDefault="00872A04" w:rsidP="00872A04">
      <w:r>
        <w:t>- Treatment: grayscale or muted single-color to read as labels, not advertising</w:t>
      </w:r>
    </w:p>
    <w:p w14:paraId="6B9DADB4" w14:textId="77777777" w:rsidR="00872A04" w:rsidRDefault="00872A04" w:rsidP="00872A04">
      <w:r>
        <w:t>- Consistent sizing across logos</w:t>
      </w:r>
    </w:p>
    <w:p w14:paraId="1B1DD4B2" w14:textId="77777777" w:rsidR="00872A04" w:rsidRDefault="00872A04" w:rsidP="00872A04">
      <w:r>
        <w:t>- Recognizable names only</w:t>
      </w:r>
    </w:p>
    <w:p w14:paraId="62755F58" w14:textId="77777777" w:rsidR="00872A04" w:rsidRDefault="00872A04" w:rsidP="00872A04">
      <w:r>
        <w:t>- Fair use is defensible for academic commentary; not a blocker</w:t>
      </w:r>
    </w:p>
    <w:p w14:paraId="4BD79307" w14:textId="77777777" w:rsidR="00872A04" w:rsidRDefault="00872A04" w:rsidP="00872A04"/>
    <w:p w14:paraId="28304824" w14:textId="77777777" w:rsidR="00872A04" w:rsidRDefault="00872A04" w:rsidP="00872A04">
      <w:r>
        <w:t>Logo lists:</w:t>
      </w:r>
    </w:p>
    <w:p w14:paraId="5F4C4353" w14:textId="77777777" w:rsidR="00872A04" w:rsidRDefault="00872A04" w:rsidP="00872A04">
      <w:r>
        <w:t>- Exaction side / housing: Greystar, Lennar, D.R. Horton, Alliance Residential, Mill Creek Residential. Secondary if space allows: Pulte, KB Home, Meritage.</w:t>
      </w:r>
    </w:p>
    <w:p w14:paraId="0BBFB47A" w14:textId="77777777" w:rsidR="00872A04" w:rsidRDefault="00872A04" w:rsidP="00872A04">
      <w:r>
        <w:t>- Utility side: PG&amp;E, Duke Energy, Southern Company, Con Edison, ComEd/Exelon.</w:t>
      </w:r>
    </w:p>
    <w:p w14:paraId="547B6052" w14:textId="77777777" w:rsidR="00872A04" w:rsidRDefault="00872A04" w:rsidP="00872A04"/>
    <w:p w14:paraId="1C2B05E1" w14:textId="77777777" w:rsidR="00872A04" w:rsidRDefault="00872A04" w:rsidP="00872A04">
      <w:r>
        <w:t>Do not import BlackRock/Vanguard/State Street from the Visa module.</w:t>
      </w:r>
    </w:p>
    <w:p w14:paraId="398D4548" w14:textId="77777777" w:rsidR="00872A04" w:rsidRDefault="00872A04" w:rsidP="00872A04"/>
    <w:p w14:paraId="7BA7AC00" w14:textId="77777777" w:rsidR="00872A04" w:rsidRDefault="00872A04" w:rsidP="00872A04"/>
    <w:p w14:paraId="6A7E7BD3" w14:textId="77777777" w:rsidR="00872A04" w:rsidRDefault="00872A04" w:rsidP="00872A04">
      <w:r>
        <w:t>LANGUAGE REGISTER</w:t>
      </w:r>
    </w:p>
    <w:p w14:paraId="11614936" w14:textId="77777777" w:rsidR="00872A04" w:rsidRDefault="00872A04" w:rsidP="00872A04"/>
    <w:p w14:paraId="5C42643F" w14:textId="77777777" w:rsidR="00872A04" w:rsidRDefault="00872A04" w:rsidP="00872A04">
      <w:r>
        <w:t>The framing for cumulative design: deliberate decisions accumulating into an emergent system. Individual decisions are intentional; people meant to do them; the aggregate pattern emerges from accumulation, not from central design.</w:t>
      </w:r>
    </w:p>
    <w:p w14:paraId="7A0CB799" w14:textId="77777777" w:rsidR="00872A04" w:rsidRDefault="00872A04" w:rsidP="00872A04"/>
    <w:p w14:paraId="54EC6C4E" w14:textId="77777777" w:rsidR="00872A04" w:rsidRDefault="00872A04" w:rsidP="00872A04">
      <w:r>
        <w:t>Do not use: "government-architected," "policy drift," "grand scheme," or any framing that implies a single designer or master plan. Do not use conspiratorial register.</w:t>
      </w:r>
    </w:p>
    <w:p w14:paraId="0D03D29E" w14:textId="77777777" w:rsidR="00872A04" w:rsidRDefault="00872A04" w:rsidP="00872A04"/>
    <w:p w14:paraId="66B3A88D" w14:textId="77777777" w:rsidR="00872A04" w:rsidRDefault="00872A04" w:rsidP="00872A04">
      <w:r>
        <w:t>The parallel between exactions and utilities is structural, not identity. Do not force equivalence where the data does not support it. Name breaks in the parallel as well as similarities.</w:t>
      </w:r>
    </w:p>
    <w:p w14:paraId="1556090F" w14:textId="77777777" w:rsidR="00872A04" w:rsidRDefault="00872A04" w:rsidP="00872A04"/>
    <w:p w14:paraId="20A64424" w14:textId="77777777" w:rsidR="00872A04" w:rsidRDefault="00872A04" w:rsidP="00872A04">
      <w:r>
        <w:t>Working hypotheses stay labeled as working hypotheses throughout the final output. Do not smooth provisional language into declarative claims.</w:t>
      </w:r>
    </w:p>
    <w:p w14:paraId="2590DBB1" w14:textId="77777777" w:rsidR="00872A04" w:rsidRDefault="00872A04" w:rsidP="00872A04"/>
    <w:p w14:paraId="4148DB22" w14:textId="77777777" w:rsidR="00872A04" w:rsidRDefault="00872A04" w:rsidP="00872A04">
      <w:r>
        <w:t>Tone: factual, structural, slightly understated. Not polemical. Not conspiratorial. Evidence does the arguing.</w:t>
      </w:r>
    </w:p>
    <w:p w14:paraId="230B8C48" w14:textId="77777777" w:rsidR="00872A04" w:rsidRDefault="00872A04" w:rsidP="00872A04"/>
    <w:p w14:paraId="0D117356" w14:textId="77777777" w:rsidR="00872A04" w:rsidRDefault="00872A04" w:rsidP="00872A04"/>
    <w:p w14:paraId="71826129" w14:textId="77777777" w:rsidR="00872A04" w:rsidRDefault="00872A04" w:rsidP="00872A04">
      <w:r>
        <w:t>AUDIENCE AND PURPOSE</w:t>
      </w:r>
    </w:p>
    <w:p w14:paraId="31D66791" w14:textId="77777777" w:rsidR="00872A04" w:rsidRDefault="00872A04" w:rsidP="00872A04"/>
    <w:p w14:paraId="09500151" w14:textId="77777777" w:rsidR="00872A04" w:rsidRDefault="00872A04" w:rsidP="00872A04">
      <w:r>
        <w:t>Target audience: a property law professor. Engages with students who engage with the material. Responds to think-first-respond-later dynamic. Primed the conversation by telling the user to "hold that thought" to preserve fresh pattern recognition before doctrinal training could bias the instinct.</w:t>
      </w:r>
    </w:p>
    <w:p w14:paraId="5D4F3985" w14:textId="77777777" w:rsidR="00872A04" w:rsidRDefault="00872A04" w:rsidP="00872A04"/>
    <w:p w14:paraId="435E8CE4" w14:textId="77777777" w:rsidR="00872A04" w:rsidRDefault="00872A04" w:rsidP="00872A04">
      <w:r>
        <w:t>Primary purpose: mental model testing artifact. Invitation to discussion, not a persuasion tool. A visual framework the professor can think through and push back on. If the framework survives adversarial examination, it models something real. If not, the user wants to know.</w:t>
      </w:r>
    </w:p>
    <w:p w14:paraId="1D4FDE0C" w14:textId="77777777" w:rsidR="00872A04" w:rsidRDefault="00872A04" w:rsidP="00872A04"/>
    <w:p w14:paraId="1C063652" w14:textId="77777777" w:rsidR="00872A04" w:rsidRDefault="00872A04" w:rsidP="00872A04">
      <w:r>
        <w:t>Not a published paper. Does not need to be complete. Working hypotheses must remain explicitly labeled throughout.</w:t>
      </w:r>
    </w:p>
    <w:p w14:paraId="355EB7F7" w14:textId="77777777" w:rsidR="00872A04" w:rsidRDefault="00872A04" w:rsidP="00872A04"/>
    <w:p w14:paraId="0DC43FD9" w14:textId="77777777" w:rsidR="00872A04" w:rsidRDefault="00872A04" w:rsidP="00872A04">
      <w:r>
        <w:t>Secondary purpose: permanent URL at istuckert.github.io/Incentive-Machine/professor-bray/ that the professor can revisit, share with other students, or reference later.</w:t>
      </w:r>
    </w:p>
    <w:p w14:paraId="3CD21564" w14:textId="77777777" w:rsidR="00872A04" w:rsidRDefault="00872A04" w:rsidP="00872A04"/>
    <w:p w14:paraId="628B6196" w14:textId="77777777" w:rsidR="00872A04" w:rsidRDefault="00872A04" w:rsidP="00872A04">
      <w:r>
        <w:t>AI-assisted disclosure: a quiet final paragraph in the For Professor Bray panel discloses AI assistance with code and data extraction. This disclosure does not live in the footer.</w:t>
      </w:r>
    </w:p>
    <w:p w14:paraId="182BA38B" w14:textId="77777777" w:rsidR="00872A04" w:rsidRDefault="00872A04" w:rsidP="00872A04"/>
    <w:p w14:paraId="5D2DBC20" w14:textId="77777777" w:rsidR="00872A04" w:rsidRDefault="00872A04" w:rsidP="00872A04"/>
    <w:p w14:paraId="3E96ED0B" w14:textId="77777777" w:rsidR="00872A04" w:rsidRDefault="00872A04" w:rsidP="00872A04">
      <w:r>
        <w:t>CONTENT FILL STATUS (as of this document version)</w:t>
      </w:r>
    </w:p>
    <w:p w14:paraId="3F109B88" w14:textId="77777777" w:rsidR="00872A04" w:rsidRDefault="00872A04" w:rsidP="00872A04"/>
    <w:p w14:paraId="7B2B96C1" w14:textId="77777777" w:rsidR="00872A04" w:rsidRDefault="00872A04" w:rsidP="00872A04">
      <w:r>
        <w:t>Filled and committed:</w:t>
      </w:r>
    </w:p>
    <w:p w14:paraId="52436EF6" w14:textId="77777777" w:rsidR="00872A04" w:rsidRDefault="00872A04" w:rsidP="00872A04">
      <w:r>
        <w:t>- For Professor Bray</w:t>
      </w:r>
    </w:p>
    <w:p w14:paraId="0004AF29" w14:textId="77777777" w:rsidR="00872A04" w:rsidRDefault="00872A04" w:rsidP="00872A04">
      <w:r>
        <w:t>- Legal Foundation — In Short</w:t>
      </w:r>
    </w:p>
    <w:p w14:paraId="4EC05890" w14:textId="77777777" w:rsidR="00872A04" w:rsidRDefault="00872A04" w:rsidP="00872A04">
      <w:r>
        <w:t>- Identified Patterns</w:t>
      </w:r>
    </w:p>
    <w:p w14:paraId="44126DA5" w14:textId="77777777" w:rsidR="00872A04" w:rsidRDefault="00872A04" w:rsidP="00872A04">
      <w:r>
        <w:t>- Jurisdictional Fragmentation</w:t>
      </w:r>
    </w:p>
    <w:p w14:paraId="120538C6" w14:textId="77777777" w:rsidR="00872A04" w:rsidRDefault="00872A04" w:rsidP="00872A04"/>
    <w:p w14:paraId="6D5FB1A2" w14:textId="77777777" w:rsidR="00872A04" w:rsidRDefault="00872A04" w:rsidP="00872A04">
      <w:r>
        <w:t>Drafted in conversation, pending content commit:</w:t>
      </w:r>
    </w:p>
    <w:p w14:paraId="0B2E8C6A" w14:textId="77777777" w:rsidR="00872A04" w:rsidRDefault="00872A04" w:rsidP="00872A04">
      <w:r>
        <w:t>- Recruits and Placements (split panel)</w:t>
      </w:r>
    </w:p>
    <w:p w14:paraId="13CD7C07" w14:textId="77777777" w:rsidR="00872A04" w:rsidRDefault="00872A04" w:rsidP="00872A04"/>
    <w:p w14:paraId="4D1BD0E3" w14:textId="77777777" w:rsidR="00872A04" w:rsidRDefault="00872A04" w:rsidP="00872A04">
      <w:r>
        <w:t>Pending draft:</w:t>
      </w:r>
    </w:p>
    <w:p w14:paraId="3F298515" w14:textId="77777777" w:rsidR="00872A04" w:rsidRDefault="00872A04" w:rsidP="00872A04">
      <w:r>
        <w:t>- Culture and the Asymmetry of Legibility</w:t>
      </w:r>
    </w:p>
    <w:p w14:paraId="36E350B2" w14:textId="77777777" w:rsidR="00872A04" w:rsidRDefault="00872A04" w:rsidP="00872A04"/>
    <w:p w14:paraId="499B7CE1" w14:textId="77777777" w:rsidR="00872A04" w:rsidRDefault="00872A04" w:rsidP="00872A04">
      <w:r>
        <w:t>Deferred until all text panels are filled:</w:t>
      </w:r>
    </w:p>
    <w:p w14:paraId="6D1290C3" w14:textId="77777777" w:rsidR="00872A04" w:rsidRDefault="00872A04" w:rsidP="00872A04">
      <w:r>
        <w:t>- Diagram</w:t>
      </w:r>
    </w:p>
    <w:p w14:paraId="7C487E8D" w14:textId="77777777" w:rsidR="00872A04" w:rsidRDefault="00872A04" w:rsidP="00872A04"/>
    <w:p w14:paraId="042BCEDA" w14:textId="77777777" w:rsidR="00872A04" w:rsidRDefault="00872A04" w:rsidP="00872A04"/>
    <w:p w14:paraId="1FAB3CC4" w14:textId="77777777" w:rsidR="00872A04" w:rsidRDefault="00872A04" w:rsidP="00872A04">
      <w:r>
        <w:t>CROSS-CUTTING NOTES</w:t>
      </w:r>
    </w:p>
    <w:p w14:paraId="0746EE31" w14:textId="77777777" w:rsidR="00872A04" w:rsidRDefault="00872A04" w:rsidP="00872A04"/>
    <w:p w14:paraId="472C901D" w14:textId="77777777" w:rsidR="00872A04" w:rsidRDefault="00872A04" w:rsidP="00872A04">
      <w:r>
        <w:t>CIAC research thread (utilities-using-exactions-via-rate-base): investigated and determined to be a tax/utility-finance issue rather than an exactions issue. CIAC-funded assets are generally excluded from rate base at the federal baseline; the post-TCJA gross-up mechanism passes tax cost through developers to buyers, but this is a housing market dynamic rather than an exaction extraction. Removed from Jurisdictional Fragmentation panel. Not flagged anywhere on the page.</w:t>
      </w:r>
    </w:p>
    <w:p w14:paraId="13A178DC" w14:textId="77777777" w:rsidR="00872A04" w:rsidRDefault="00872A04" w:rsidP="00872A04"/>
    <w:p w14:paraId="34A65EF9" w14:textId="77777777" w:rsidR="00872A04" w:rsidRDefault="00872A04" w:rsidP="00872A04">
      <w:r>
        <w:t>Section 14 of the original research document (Exactions_Utilities_Research.docx) is superseded by this document. Build-instructions.docx is authoritative for all architectural and design decisions.</w:t>
      </w:r>
    </w:p>
    <w:p w14:paraId="6D964222" w14:textId="77777777" w:rsidR="00872A04" w:rsidRDefault="00872A04" w:rsidP="00872A04"/>
    <w:p w14:paraId="3873FDB9" w14:textId="77777777" w:rsidR="00872A04" w:rsidRDefault="00872A04" w:rsidP="00872A04"/>
    <w:p w14:paraId="54D98749" w14:textId="77777777" w:rsidR="00872A04" w:rsidRDefault="00872A04" w:rsidP="00872A04">
      <w:r>
        <w:t>INSTRUCTIONS FOR CLAUDE CODE</w:t>
      </w:r>
    </w:p>
    <w:p w14:paraId="3827D6A2" w14:textId="77777777" w:rsidR="00872A04" w:rsidRDefault="00872A04" w:rsidP="00872A04"/>
    <w:p w14:paraId="6B61D9E5" w14:textId="77777777" w:rsidR="00872A04" w:rsidRDefault="00872A04" w:rsidP="00872A04">
      <w:r>
        <w:t>When Claude Code references this document as context for building or modifying the website:</w:t>
      </w:r>
    </w:p>
    <w:p w14:paraId="23F10640" w14:textId="77777777" w:rsidR="00872A04" w:rsidRDefault="00872A04" w:rsidP="00872A04"/>
    <w:p w14:paraId="708999D7" w14:textId="77777777" w:rsidR="00872A04" w:rsidRDefault="00872A04" w:rsidP="00872A04">
      <w:r>
        <w:t>- This document is the authoritative source for architectural and design decisions. Where this document and the research document conflict, this document wins.</w:t>
      </w:r>
    </w:p>
    <w:p w14:paraId="69DFD014" w14:textId="77777777" w:rsidR="00872A04" w:rsidRDefault="00872A04" w:rsidP="00872A04">
      <w:r>
        <w:t>- The research document (Exactions_Utilities_Research.docx) is the authoritative source for research content, citations, and substantive evidence.</w:t>
      </w:r>
    </w:p>
    <w:p w14:paraId="4A3E7C96" w14:textId="77777777" w:rsidR="00872A04" w:rsidRDefault="00872A04" w:rsidP="00872A04">
      <w:r>
        <w:t>- Mirror the Visa module's architectural patterns (HTML, CSS, nav, footer, typography family). Do not import the Visa module's content structure, thematic framings, or parallels.</w:t>
      </w:r>
    </w:p>
    <w:p w14:paraId="5A3E60DB" w14:textId="77777777" w:rsidR="00872A04" w:rsidRDefault="00872A04" w:rsidP="00872A04">
      <w:r>
        <w:t>- Working hypotheses are never conclusions. Present them as working hypotheses. Do not smooth provisional language into declarative claims.</w:t>
      </w:r>
    </w:p>
    <w:p w14:paraId="26168DA6" w14:textId="77777777" w:rsidR="00872A04" w:rsidRDefault="00872A04" w:rsidP="00872A04">
      <w:r>
        <w:t>- The parallel between exactions and utilities is structural, not identity. Do not force equivalence where the data does not support it.</w:t>
      </w:r>
    </w:p>
    <w:p w14:paraId="4A44D5D9" w14:textId="77777777" w:rsidR="00872A04" w:rsidRDefault="00872A04" w:rsidP="00872A04">
      <w:r>
        <w:t>- Tone is factual, structural, slightly understated. Not polemical. Not conspiratorial. The cumulative-design register applies throughout.</w:t>
      </w:r>
    </w:p>
    <w:p w14:paraId="4DCCB6AE" w14:textId="77777777" w:rsidR="00872A04" w:rsidRDefault="00872A04" w:rsidP="00872A04">
      <w:r>
        <w:t>- Company logos are grayscale/muted, consistent sizing, recognizable names only, middle tier only.</w:t>
      </w:r>
    </w:p>
    <w:p w14:paraId="41890AAD" w14:textId="77777777" w:rsidR="00872A04" w:rsidRDefault="00872A04" w:rsidP="00872A04">
      <w:r>
        <w:t>- Arrow labels stay short; full detail lives in hover/click expansion modals.</w:t>
      </w:r>
    </w:p>
    <w:p w14:paraId="416B640B" w14:textId="77777777" w:rsidR="00872A04" w:rsidRDefault="00872A04" w:rsidP="00872A04">
      <w:r>
        <w:t>- The diagram is the primary deliverable. The text panels frame and support it.</w:t>
      </w:r>
    </w:p>
    <w:p w14:paraId="383D4732" w14:textId="4FE9C1A0" w:rsidR="00F80501" w:rsidRDefault="00872A04" w:rsidP="00872A04">
      <w:r>
        <w:t>- Before changing any architectural or layout decision documented here, confirm with the user. Flag contradictions, do not silently resolve them.</w:t>
      </w:r>
    </w:p>
    <w:sectPr w:rsidR="00F805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67CE3"/>
    <w:multiLevelType w:val="multilevel"/>
    <w:tmpl w:val="E852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113D21"/>
    <w:multiLevelType w:val="multilevel"/>
    <w:tmpl w:val="B204D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104E20"/>
    <w:multiLevelType w:val="multilevel"/>
    <w:tmpl w:val="C352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B937C2"/>
    <w:multiLevelType w:val="multilevel"/>
    <w:tmpl w:val="80C80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F16533"/>
    <w:multiLevelType w:val="multilevel"/>
    <w:tmpl w:val="2D3E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1427C0"/>
    <w:multiLevelType w:val="multilevel"/>
    <w:tmpl w:val="6094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C81C7F"/>
    <w:multiLevelType w:val="multilevel"/>
    <w:tmpl w:val="EB5A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097753"/>
    <w:multiLevelType w:val="multilevel"/>
    <w:tmpl w:val="03CE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C46AA9"/>
    <w:multiLevelType w:val="multilevel"/>
    <w:tmpl w:val="68C02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3A2BF6"/>
    <w:multiLevelType w:val="multilevel"/>
    <w:tmpl w:val="8644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297268"/>
    <w:multiLevelType w:val="multilevel"/>
    <w:tmpl w:val="9A36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113390">
    <w:abstractNumId w:val="3"/>
  </w:num>
  <w:num w:numId="2" w16cid:durableId="1028876678">
    <w:abstractNumId w:val="4"/>
  </w:num>
  <w:num w:numId="3" w16cid:durableId="1696536226">
    <w:abstractNumId w:val="10"/>
  </w:num>
  <w:num w:numId="4" w16cid:durableId="671375150">
    <w:abstractNumId w:val="9"/>
  </w:num>
  <w:num w:numId="5" w16cid:durableId="733819792">
    <w:abstractNumId w:val="6"/>
  </w:num>
  <w:num w:numId="6" w16cid:durableId="1231619399">
    <w:abstractNumId w:val="7"/>
  </w:num>
  <w:num w:numId="7" w16cid:durableId="2141410410">
    <w:abstractNumId w:val="2"/>
  </w:num>
  <w:num w:numId="8" w16cid:durableId="374740254">
    <w:abstractNumId w:val="5"/>
  </w:num>
  <w:num w:numId="9" w16cid:durableId="752244765">
    <w:abstractNumId w:val="8"/>
  </w:num>
  <w:num w:numId="10" w16cid:durableId="817956747">
    <w:abstractNumId w:val="0"/>
  </w:num>
  <w:num w:numId="11" w16cid:durableId="3552730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3EE"/>
    <w:rsid w:val="001943F6"/>
    <w:rsid w:val="001E1393"/>
    <w:rsid w:val="005123EE"/>
    <w:rsid w:val="006E04B7"/>
    <w:rsid w:val="00832B38"/>
    <w:rsid w:val="00872A04"/>
    <w:rsid w:val="009F6795"/>
    <w:rsid w:val="00A34292"/>
    <w:rsid w:val="00B97FAB"/>
    <w:rsid w:val="00D3340C"/>
    <w:rsid w:val="00F8050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7087C"/>
  <w15:chartTrackingRefBased/>
  <w15:docId w15:val="{065B53A4-52C8-5649-9CD6-A7BEB4294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3EE"/>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5123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3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3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3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3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3E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3E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3E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3E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3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23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23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23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23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23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23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23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23EE"/>
    <w:rPr>
      <w:rFonts w:eastAsiaTheme="majorEastAsia" w:cstheme="majorBidi"/>
      <w:color w:val="272727" w:themeColor="text1" w:themeTint="D8"/>
    </w:rPr>
  </w:style>
  <w:style w:type="paragraph" w:styleId="Title">
    <w:name w:val="Title"/>
    <w:basedOn w:val="Normal"/>
    <w:next w:val="Normal"/>
    <w:link w:val="TitleChar"/>
    <w:uiPriority w:val="10"/>
    <w:qFormat/>
    <w:rsid w:val="005123E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3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23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3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23EE"/>
    <w:pPr>
      <w:spacing w:before="160"/>
      <w:jc w:val="center"/>
    </w:pPr>
    <w:rPr>
      <w:i/>
      <w:iCs/>
      <w:color w:val="404040" w:themeColor="text1" w:themeTint="BF"/>
    </w:rPr>
  </w:style>
  <w:style w:type="character" w:customStyle="1" w:styleId="QuoteChar">
    <w:name w:val="Quote Char"/>
    <w:basedOn w:val="DefaultParagraphFont"/>
    <w:link w:val="Quote"/>
    <w:uiPriority w:val="29"/>
    <w:rsid w:val="005123EE"/>
    <w:rPr>
      <w:i/>
      <w:iCs/>
      <w:color w:val="404040" w:themeColor="text1" w:themeTint="BF"/>
    </w:rPr>
  </w:style>
  <w:style w:type="paragraph" w:styleId="ListParagraph">
    <w:name w:val="List Paragraph"/>
    <w:basedOn w:val="Normal"/>
    <w:uiPriority w:val="34"/>
    <w:qFormat/>
    <w:rsid w:val="005123EE"/>
    <w:pPr>
      <w:ind w:left="720"/>
      <w:contextualSpacing/>
    </w:pPr>
  </w:style>
  <w:style w:type="character" w:styleId="IntenseEmphasis">
    <w:name w:val="Intense Emphasis"/>
    <w:basedOn w:val="DefaultParagraphFont"/>
    <w:uiPriority w:val="21"/>
    <w:qFormat/>
    <w:rsid w:val="005123EE"/>
    <w:rPr>
      <w:i/>
      <w:iCs/>
      <w:color w:val="0F4761" w:themeColor="accent1" w:themeShade="BF"/>
    </w:rPr>
  </w:style>
  <w:style w:type="paragraph" w:styleId="IntenseQuote">
    <w:name w:val="Intense Quote"/>
    <w:basedOn w:val="Normal"/>
    <w:next w:val="Normal"/>
    <w:link w:val="IntenseQuoteChar"/>
    <w:uiPriority w:val="30"/>
    <w:qFormat/>
    <w:rsid w:val="005123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3EE"/>
    <w:rPr>
      <w:i/>
      <w:iCs/>
      <w:color w:val="0F4761" w:themeColor="accent1" w:themeShade="BF"/>
    </w:rPr>
  </w:style>
  <w:style w:type="character" w:styleId="IntenseReference">
    <w:name w:val="Intense Reference"/>
    <w:basedOn w:val="DefaultParagraphFont"/>
    <w:uiPriority w:val="32"/>
    <w:qFormat/>
    <w:rsid w:val="005123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2376</Words>
  <Characters>13549</Characters>
  <Application>Microsoft Office Word</Application>
  <DocSecurity>0</DocSecurity>
  <Lines>112</Lines>
  <Paragraphs>31</Paragraphs>
  <ScaleCrop>false</ScaleCrop>
  <Company/>
  <LinksUpToDate>false</LinksUpToDate>
  <CharactersWithSpaces>15894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Stuckert</dc:creator>
  <cp:keywords/>
  <dc:description/>
  <cp:lastModifiedBy>Ian Stuckert</cp:lastModifiedBy>
  <cp:revision>3</cp:revision>
  <dcterms:created xsi:type="dcterms:W3CDTF">2026-04-22T20:13:00Z</dcterms:created>
  <dcterms:modified xsi:type="dcterms:W3CDTF">2026-04-23T00:52:00Z</dcterms:modified>
</cp:coreProperties>
</file>