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F3864"/>
          <w:sz w:val="44"/>
          <w:szCs w:val="44"/>
        </w:rPr>
        <w:t xml:space="preserve">THE H-1B / H-2 VISA INCENTIVE MACHINE</w:t>
      </w:r>
    </w:p>
    <w:p>
      <w:pPr>
        <w:spacing w:after="80" w:before="40"/>
        <w:jc w:val="center"/>
      </w:pPr>
      <w:r>
        <w:rPr>
          <w:rFonts w:ascii="Arial" w:cs="Arial" w:eastAsia="Arial" w:hAnsi="Arial"/>
          <w:b/>
          <w:bCs/>
          <w:color w:val="595959"/>
          <w:sz w:val="26"/>
          <w:szCs w:val="26"/>
        </w:rPr>
        <w:t xml:space="preserve">Project Outline — v10 / Updated April 2026</w:t>
      </w:r>
    </w:p>
    <w:p>
      <w:pPr>
        <w:spacing w:after="240" w:before="40"/>
        <w:jc w:val="center"/>
      </w:pPr>
      <w:r>
        <w:rPr>
          <w:rFonts w:ascii="Arial" w:cs="Arial" w:eastAsia="Arial" w:hAnsi="Arial"/>
          <w:i/>
          <w:iCs/>
          <w:color w:val="595959"/>
          <w:sz w:val="24"/>
          <w:szCs w:val="24"/>
        </w:rPr>
        <w:t xml:space="preserve">One machine. Two visa programs. The same people get rich.</w:t>
      </w:r>
    </w:p>
    <w:p>
      <w:pPr>
        <w:pBdr>
          <w:bottom w:val="single" w:color="1F3864" w:sz="6" w:space="1"/>
        </w:pBdr>
        <w:spacing w:after="100" w:before="100"/>
      </w:pPr>
    </w:p>
    <w:p>
      <w:pPr>
        <w:shd w:fill="EAF1FB" w:val="clear"/>
        <w:spacing w:after="80" w:before="80"/>
      </w:pPr>
      <w:r>
        <w:rPr>
          <w:rFonts w:ascii="Arial" w:cs="Arial" w:eastAsia="Arial" w:hAnsi="Arial"/>
          <w:b w:val="false"/>
          <w:bCs w:val="false"/>
          <w:color w:val="1F3864"/>
          <w:sz w:val="22"/>
          <w:szCs w:val="22"/>
        </w:rPr>
        <w:t xml:space="preserve">This document is the single source of truth for the H-1B / H-2 Visa Incentive Machine interactive tool. Incorporates all verified research through April 2026. v10 adds: diagram architecture decisions, node/edge structure, interaction model, modal specification, build environment decision (Claude Code), H-2A/H-2B worker split, FLC repositioning, and all Phase 4 research closures.</w:t>
      </w:r>
    </w:p>
    <w:p>
      <w:pPr>
        <w:spacing w:after="80" w:before="80"/>
      </w:pPr>
    </w:p>
    <w:p>
      <w:pPr>
        <w:pBdr>
          <w:bottom w:val="single" w:color="1F3864" w:sz="6" w:space="1"/>
        </w:pBdr>
        <w:spacing w:after="100" w:before="100"/>
      </w:pPr>
    </w:p>
    <w:p>
      <w:pPr>
        <w:pStyle w:val="Heading1"/>
        <w:spacing w:after="120" w:before="360"/>
      </w:pPr>
      <w:r>
        <w:rPr>
          <w:rFonts w:ascii="Arial" w:cs="Arial" w:eastAsia="Arial" w:hAnsi="Arial"/>
          <w:b/>
          <w:bCs/>
          <w:color w:val="1F3864"/>
          <w:sz w:val="32"/>
          <w:szCs w:val="32"/>
        </w:rPr>
        <w:t xml:space="preserve">SECTION 01 — TITLE &amp; FRAMING</w:t>
      </w:r>
    </w:p>
    <w:p>
      <w:pPr>
        <w:pStyle w:val="Heading2"/>
        <w:spacing w:after="80" w:before="240"/>
      </w:pPr>
      <w:r>
        <w:rPr>
          <w:rFonts w:ascii="Arial" w:cs="Arial" w:eastAsia="Arial" w:hAnsi="Arial"/>
          <w:b/>
          <w:bCs/>
          <w:color w:val="1F3864"/>
          <w:sz w:val="26"/>
          <w:szCs w:val="26"/>
        </w:rPr>
        <w:t xml:space="preserve">Title</w:t>
      </w:r>
    </w:p>
    <w:p>
      <w:pPr>
        <w:spacing w:after="60" w:before="60"/>
      </w:pPr>
      <w:r>
        <w:rPr>
          <w:rFonts w:ascii="Arial" w:cs="Arial" w:eastAsia="Arial" w:hAnsi="Arial"/>
          <w:sz w:val="22"/>
          <w:szCs w:val="22"/>
        </w:rPr>
        <w:t xml:space="preserve">The H-1B / H-2 Visa Incentive Machine</w:t>
      </w:r>
    </w:p>
    <w:p>
      <w:pPr>
        <w:pStyle w:val="Heading2"/>
        <w:spacing w:after="80" w:before="240"/>
      </w:pPr>
      <w:r>
        <w:rPr>
          <w:rFonts w:ascii="Arial" w:cs="Arial" w:eastAsia="Arial" w:hAnsi="Arial"/>
          <w:b/>
          <w:bCs/>
          <w:color w:val="1F3864"/>
          <w:sz w:val="26"/>
          <w:szCs w:val="26"/>
        </w:rPr>
        <w:t xml:space="preserve">Tagline</w:t>
      </w:r>
    </w:p>
    <w:p>
      <w:pPr>
        <w:spacing w:after="60" w:before="60"/>
      </w:pPr>
      <w:r>
        <w:rPr>
          <w:rFonts w:ascii="Arial" w:cs="Arial" w:eastAsia="Arial" w:hAnsi="Arial"/>
          <w:sz w:val="22"/>
          <w:szCs w:val="22"/>
        </w:rPr>
        <w:t xml:space="preserve">The argument is the product.</w:t>
      </w:r>
    </w:p>
    <w:p>
      <w:pPr>
        <w:pStyle w:val="Heading2"/>
        <w:spacing w:after="80" w:before="240"/>
      </w:pPr>
      <w:r>
        <w:rPr>
          <w:rFonts w:ascii="Arial" w:cs="Arial" w:eastAsia="Arial" w:hAnsi="Arial"/>
          <w:b/>
          <w:bCs/>
          <w:color w:val="1F3864"/>
          <w:sz w:val="26"/>
          <w:szCs w:val="26"/>
        </w:rPr>
        <w:t xml:space="preserve">Platform</w:t>
      </w:r>
    </w:p>
    <w:p>
      <w:pPr>
        <w:spacing w:after="60" w:before="60"/>
      </w:pPr>
      <w:r>
        <w:rPr>
          <w:rFonts w:ascii="Arial" w:cs="Arial" w:eastAsia="Arial" w:hAnsi="Arial"/>
          <w:sz w:val="22"/>
          <w:szCs w:val="22"/>
        </w:rPr>
        <w:t xml:space="preserve">The Manufactured Divide — a multi-page investigative education platform on GitHub Pages. The Visa Machine is Module 01.</w:t>
      </w:r>
    </w:p>
    <w:p>
      <w:pPr>
        <w:pStyle w:val="Heading2"/>
        <w:spacing w:after="80" w:before="240"/>
      </w:pPr>
      <w:r>
        <w:rPr>
          <w:rFonts w:ascii="Arial" w:cs="Arial" w:eastAsia="Arial" w:hAnsi="Arial"/>
          <w:b/>
          <w:bCs/>
          <w:color w:val="1F3864"/>
          <w:sz w:val="26"/>
          <w:szCs w:val="26"/>
        </w:rPr>
        <w:t xml:space="preserve">Live URLs</w:t>
      </w:r>
    </w:p>
    <w:p>
      <w:pPr>
        <w:pStyle w:val="ListParagraph"/>
        <w:numPr>
          <w:ilvl w:val="0"/>
          <w:numId w:val="2"/>
        </w:numPr>
        <w:spacing w:after="40" w:before="40"/>
      </w:pPr>
      <w:r>
        <w:rPr>
          <w:rFonts w:ascii="Arial" w:cs="Arial" w:eastAsia="Arial" w:hAnsi="Arial"/>
          <w:color w:val="000000"/>
          <w:sz w:val="21"/>
          <w:szCs w:val="21"/>
        </w:rPr>
        <w:t xml:space="preserve">Platform: https://istuckert.github.io/Incentive-Machine/</w:t>
      </w:r>
    </w:p>
    <w:p>
      <w:pPr>
        <w:pStyle w:val="ListParagraph"/>
        <w:numPr>
          <w:ilvl w:val="0"/>
          <w:numId w:val="2"/>
        </w:numPr>
        <w:spacing w:after="40" w:before="40"/>
      </w:pPr>
      <w:r>
        <w:rPr>
          <w:rFonts w:ascii="Arial" w:cs="Arial" w:eastAsia="Arial" w:hAnsi="Arial"/>
          <w:color w:val="000000"/>
          <w:sz w:val="21"/>
          <w:szCs w:val="21"/>
        </w:rPr>
        <w:t xml:space="preserve">Module: https://istuckert.github.io/Incentive-Machine/visa/</w:t>
      </w:r>
    </w:p>
    <w:p>
      <w:pPr>
        <w:pStyle w:val="ListParagraph"/>
        <w:numPr>
          <w:ilvl w:val="0"/>
          <w:numId w:val="2"/>
        </w:numPr>
        <w:spacing w:after="40" w:before="40"/>
      </w:pPr>
      <w:r>
        <w:rPr>
          <w:rFonts w:ascii="Arial" w:cs="Arial" w:eastAsia="Arial" w:hAnsi="Arial"/>
          <w:color w:val="000000"/>
          <w:sz w:val="21"/>
          <w:szCs w:val="21"/>
        </w:rPr>
        <w:t xml:space="preserve">Repo: https://github.com/istuckert/Incentive-Machine/</w:t>
      </w:r>
    </w:p>
    <w:p>
      <w:pPr>
        <w:pStyle w:val="Heading2"/>
        <w:spacing w:after="80" w:before="240"/>
      </w:pPr>
      <w:r>
        <w:rPr>
          <w:rFonts w:ascii="Arial" w:cs="Arial" w:eastAsia="Arial" w:hAnsi="Arial"/>
          <w:b/>
          <w:bCs/>
          <w:color w:val="1F3864"/>
          <w:sz w:val="26"/>
          <w:szCs w:val="26"/>
        </w:rPr>
        <w:t xml:space="preserve">Core Thesis</w:t>
      </w:r>
    </w:p>
    <w:p>
      <w:pPr>
        <w:spacing w:after="60" w:before="60"/>
      </w:pPr>
      <w:r>
        <w:rPr>
          <w:rFonts w:ascii="Arial" w:cs="Arial" w:eastAsia="Arial" w:hAnsi="Arial"/>
          <w:sz w:val="22"/>
          <w:szCs w:val="22"/>
        </w:rPr>
        <w:t xml:space="preserve">Asset managers are exploiting both visa workers and ordinary Americans through the same mechanism. The public debate is framed as a left moral issue or a right economic issue. That framing is deliberate. It is the same system. It is the same beneficiary. The H-1B and H-2 programs are discussed as separate issues by design. This tool follows the money to show they are nodes in a single extraction loop — one that American retirement accounts are unknowingly funding.</w:t>
      </w:r>
    </w:p>
    <w:p>
      <w:pPr>
        <w:pStyle w:val="Heading2"/>
        <w:spacing w:after="80" w:before="240"/>
      </w:pPr>
      <w:r>
        <w:rPr>
          <w:rFonts w:ascii="Arial" w:cs="Arial" w:eastAsia="Arial" w:hAnsi="Arial"/>
          <w:b/>
          <w:bCs/>
          <w:color w:val="1F3864"/>
          <w:sz w:val="26"/>
          <w:szCs w:val="26"/>
        </w:rPr>
        <w:t xml:space="preserve">Chain Subheading</w:t>
      </w:r>
    </w:p>
    <w:p>
      <w:pPr>
        <w:spacing w:after="60" w:before="60"/>
      </w:pPr>
      <w:r>
        <w:rPr>
          <w:rFonts w:ascii="Arial" w:cs="Arial" w:eastAsia="Arial" w:hAnsi="Arial"/>
          <w:sz w:val="22"/>
          <w:szCs w:val="22"/>
        </w:rPr>
        <w:t xml:space="preserve">One machine. Two visa programs. The same people get rich.</w:t>
      </w:r>
    </w:p>
    <w:p>
      <w:pPr>
        <w:spacing w:after="80" w:before="80"/>
      </w:pPr>
    </w:p>
    <w:p>
      <w:pPr>
        <w:pBdr>
          <w:bottom w:val="single" w:color="1F3864" w:sz="6" w:space="1"/>
        </w:pBdr>
        <w:spacing w:after="100" w:before="100"/>
      </w:pPr>
    </w:p>
    <w:p>
      <w:pPr>
        <w:pStyle w:val="Heading1"/>
        <w:spacing w:after="120" w:before="360"/>
      </w:pPr>
      <w:r>
        <w:rPr>
          <w:rFonts w:ascii="Arial" w:cs="Arial" w:eastAsia="Arial" w:hAnsi="Arial"/>
          <w:b/>
          <w:bCs/>
          <w:color w:val="1F3864"/>
          <w:sz w:val="32"/>
          <w:szCs w:val="32"/>
        </w:rPr>
        <w:t xml:space="preserve">SECTION 02 — ARCHITECTURE</w:t>
      </w:r>
    </w:p>
    <w:p>
      <w:pPr>
        <w:pStyle w:val="Heading2"/>
        <w:spacing w:after="80" w:before="240"/>
      </w:pPr>
      <w:r>
        <w:rPr>
          <w:rFonts w:ascii="Arial" w:cs="Arial" w:eastAsia="Arial" w:hAnsi="Arial"/>
          <w:b/>
          <w:bCs/>
          <w:color w:val="1F3864"/>
          <w:sz w:val="26"/>
          <w:szCs w:val="26"/>
        </w:rPr>
        <w:t xml:space="preserve">Site Architecture</w:t>
      </w:r>
    </w:p>
    <w:p>
      <w:pPr>
        <w:pStyle w:val="ListParagraph"/>
        <w:numPr>
          <w:ilvl w:val="0"/>
          <w:numId w:val="2"/>
        </w:numPr>
        <w:spacing w:after="40" w:before="40"/>
      </w:pPr>
      <w:r>
        <w:rPr>
          <w:rFonts w:ascii="Arial" w:cs="Arial" w:eastAsia="Arial" w:hAnsi="Arial"/>
          <w:color w:val="000000"/>
          <w:sz w:val="21"/>
          <w:szCs w:val="21"/>
        </w:rPr>
        <w:t xml:space="preserve">Multi-page static site on GitHub Pages</w:t>
      </w:r>
    </w:p>
    <w:p>
      <w:pPr>
        <w:pStyle w:val="ListParagraph"/>
        <w:numPr>
          <w:ilvl w:val="0"/>
          <w:numId w:val="2"/>
        </w:numPr>
        <w:spacing w:after="40" w:before="40"/>
      </w:pPr>
      <w:r>
        <w:rPr>
          <w:rFonts w:ascii="Arial" w:cs="Arial" w:eastAsia="Arial" w:hAnsi="Arial"/>
          <w:color w:val="000000"/>
          <w:sz w:val="21"/>
          <w:szCs w:val="21"/>
        </w:rPr>
        <w:t xml:space="preserve">Plain HTML / CSS / JS — no framework, no build tools, no backend</w:t>
      </w:r>
    </w:p>
    <w:p>
      <w:pPr>
        <w:pStyle w:val="ListParagraph"/>
        <w:numPr>
          <w:ilvl w:val="0"/>
          <w:numId w:val="2"/>
        </w:numPr>
        <w:spacing w:after="40" w:before="40"/>
      </w:pPr>
      <w:r>
        <w:rPr>
          <w:rFonts w:ascii="Arial" w:cs="Arial" w:eastAsia="Arial" w:hAnsi="Arial"/>
          <w:color w:val="000000"/>
          <w:sz w:val="21"/>
          <w:szCs w:val="21"/>
        </w:rPr>
        <w:t xml:space="preserve">Each page self-contained</w:t>
      </w:r>
    </w:p>
    <w:p>
      <w:pPr>
        <w:pStyle w:val="ListParagraph"/>
        <w:numPr>
          <w:ilvl w:val="0"/>
          <w:numId w:val="2"/>
        </w:numPr>
        <w:spacing w:after="40" w:before="40"/>
      </w:pPr>
      <w:r>
        <w:rPr>
          <w:rFonts w:ascii="Arial" w:cs="Arial" w:eastAsia="Arial" w:hAnsi="Arial"/>
          <w:color w:val="000000"/>
          <w:sz w:val="21"/>
          <w:szCs w:val="21"/>
        </w:rPr>
        <w:t xml:space="preserve">visa/index.html is the active module</w:t>
      </w:r>
    </w:p>
    <w:p>
      <w:pPr>
        <w:pStyle w:val="ListParagraph"/>
        <w:numPr>
          <w:ilvl w:val="0"/>
          <w:numId w:val="2"/>
        </w:numPr>
        <w:spacing w:after="40" w:before="40"/>
      </w:pPr>
      <w:r>
        <w:rPr>
          <w:rFonts w:ascii="Arial" w:cs="Arial" w:eastAsia="Arial" w:hAnsi="Arial"/>
          <w:color w:val="000000"/>
          <w:sz w:val="21"/>
          <w:szCs w:val="21"/>
        </w:rPr>
        <w:t xml:space="preserve">index.html is the platform landing page (D3 force-directed web, 5 module nodes)</w:t>
      </w:r>
    </w:p>
    <w:p>
      <w:pPr>
        <w:spacing w:after="80" w:before="80"/>
      </w:pPr>
    </w:p>
    <w:p>
      <w:pPr>
        <w:pStyle w:val="Heading2"/>
        <w:spacing w:after="80" w:before="240"/>
      </w:pPr>
      <w:r>
        <w:rPr>
          <w:rFonts w:ascii="Arial" w:cs="Arial" w:eastAsia="Arial" w:hAnsi="Arial"/>
          <w:b/>
          <w:bCs/>
          <w:color w:val="1F3864"/>
          <w:sz w:val="26"/>
          <w:szCs w:val="26"/>
        </w:rPr>
        <w:t xml:space="preserve">Build Environment</w:t>
      </w:r>
    </w:p>
    <w:p>
      <w:pPr>
        <w:shd w:fill="FFF3CD" w:val="clear"/>
        <w:spacing w:after="80" w:before="80"/>
      </w:pPr>
      <w:r>
        <w:rPr>
          <w:rFonts w:ascii="Arial" w:cs="Arial" w:eastAsia="Arial" w:hAnsi="Arial"/>
          <w:b/>
          <w:bCs/>
          <w:color w:val="7F6000"/>
          <w:sz w:val="22"/>
          <w:szCs w:val="22"/>
        </w:rPr>
        <w:t xml:space="preserve">DECISION (April 2026): All diagram and module construction is done via Claude Code. Claude Code edits repo files directly, runs local server for live preview at full viewport width, and iterates on direct feedback. Chat-based visualizer was used for structural prototyping only.</w:t>
      </w:r>
    </w:p>
    <w:p>
      <w:pPr>
        <w:spacing w:after="80" w:before="80"/>
      </w:pPr>
    </w:p>
    <w:p>
      <w:pPr>
        <w:pStyle w:val="Heading2"/>
        <w:spacing w:after="80" w:before="240"/>
      </w:pPr>
      <w:r>
        <w:rPr>
          <w:rFonts w:ascii="Arial" w:cs="Arial" w:eastAsia="Arial" w:hAnsi="Arial"/>
          <w:b/>
          <w:bCs/>
          <w:color w:val="1F3864"/>
          <w:sz w:val="26"/>
          <w:szCs w:val="26"/>
        </w:rPr>
        <w:t xml:space="preserve">Navigation</w:t>
      </w:r>
    </w:p>
    <w:p>
      <w:pPr>
        <w:pStyle w:val="ListParagraph"/>
        <w:numPr>
          <w:ilvl w:val="0"/>
          <w:numId w:val="2"/>
        </w:numPr>
        <w:spacing w:after="40" w:before="40"/>
      </w:pPr>
      <w:r>
        <w:rPr>
          <w:rFonts w:ascii="Arial" w:cs="Arial" w:eastAsia="Arial" w:hAnsi="Arial"/>
          <w:color w:val="000000"/>
          <w:sz w:val="21"/>
          <w:szCs w:val="21"/>
        </w:rPr>
        <w:t xml:space="preserve">Home button only in nav bar</w:t>
      </w:r>
    </w:p>
    <w:p>
      <w:pPr>
        <w:pStyle w:val="ListParagraph"/>
        <w:numPr>
          <w:ilvl w:val="0"/>
          <w:numId w:val="2"/>
        </w:numPr>
        <w:spacing w:after="40" w:before="40"/>
      </w:pPr>
      <w:r>
        <w:rPr>
          <w:rFonts w:ascii="Arial" w:cs="Arial" w:eastAsia="Arial" w:hAnsi="Arial"/>
          <w:color w:val="000000"/>
          <w:sz w:val="21"/>
          <w:szCs w:val="21"/>
        </w:rPr>
        <w:t xml:space="preserve">'Created by Ian' credit in home page footer</w:t>
      </w:r>
    </w:p>
    <w:p>
      <w:pPr>
        <w:pStyle w:val="ListParagraph"/>
        <w:numPr>
          <w:ilvl w:val="0"/>
          <w:numId w:val="2"/>
        </w:numPr>
        <w:spacing w:after="40" w:before="40"/>
      </w:pPr>
      <w:r>
        <w:rPr>
          <w:rFonts w:ascii="Arial" w:cs="Arial" w:eastAsia="Arial" w:hAnsi="Arial"/>
          <w:color w:val="000000"/>
          <w:sz w:val="21"/>
          <w:szCs w:val="21"/>
        </w:rPr>
        <w:t xml:space="preserve">AI disclosure added</w:t>
      </w:r>
    </w:p>
    <w:p>
      <w:pPr>
        <w:pStyle w:val="ListParagraph"/>
        <w:numPr>
          <w:ilvl w:val="0"/>
          <w:numId w:val="2"/>
        </w:numPr>
        <w:spacing w:after="40" w:before="40"/>
      </w:pPr>
      <w:r>
        <w:rPr>
          <w:rFonts w:ascii="Arial" w:cs="Arial" w:eastAsia="Arial" w:hAnsi="Arial"/>
          <w:color w:val="000000"/>
          <w:sz w:val="21"/>
          <w:szCs w:val="21"/>
        </w:rPr>
        <w:t xml:space="preserve">Google Form feedback link: https://forms.gle/fLaPAhALSbHqioBa6</w:t>
      </w:r>
    </w:p>
    <w:p>
      <w:pPr>
        <w:spacing w:after="80" w:before="80"/>
      </w:pPr>
    </w:p>
    <w:p>
      <w:pPr>
        <w:pBdr>
          <w:bottom w:val="single" w:color="1F3864" w:sz="6" w:space="1"/>
        </w:pBdr>
        <w:spacing w:after="100" w:before="100"/>
      </w:pPr>
    </w:p>
    <w:p>
      <w:pPr>
        <w:pStyle w:val="Heading1"/>
        <w:spacing w:after="120" w:before="360"/>
      </w:pPr>
      <w:r>
        <w:rPr>
          <w:rFonts w:ascii="Arial" w:cs="Arial" w:eastAsia="Arial" w:hAnsi="Arial"/>
          <w:b/>
          <w:bCs/>
          <w:color w:val="1F3864"/>
          <w:sz w:val="32"/>
          <w:szCs w:val="32"/>
        </w:rPr>
        <w:t xml:space="preserve">SECTION 03 — CHAIN DIAGRAM ARCHITECTURE</w:t>
      </w:r>
    </w:p>
    <w:p>
      <w:pPr>
        <w:shd w:fill="EAF1FB" w:val="clear"/>
        <w:spacing w:after="80" w:before="80"/>
      </w:pPr>
      <w:r>
        <w:rPr>
          <w:rFonts w:ascii="Arial" w:cs="Arial" w:eastAsia="Arial" w:hAnsi="Arial"/>
          <w:b/>
          <w:bCs/>
          <w:color w:val="1F3864"/>
          <w:sz w:val="22"/>
          <w:szCs w:val="22"/>
        </w:rPr>
        <w:t xml:space="preserve">NEW IN V10 — This section documents all decisions made for the interactive chain diagram. The full machine-readable build spec is in VISA_MACHINE_DIAGRAM_SPEC.md in the repo.</w:t>
      </w:r>
    </w:p>
    <w:p>
      <w:pPr>
        <w:spacing w:after="80" w:before="80"/>
      </w:pPr>
    </w:p>
    <w:p>
      <w:pPr>
        <w:pStyle w:val="Heading2"/>
        <w:spacing w:after="80" w:before="240"/>
      </w:pPr>
      <w:r>
        <w:rPr>
          <w:rFonts w:ascii="Arial" w:cs="Arial" w:eastAsia="Arial" w:hAnsi="Arial"/>
          <w:b/>
          <w:bCs/>
          <w:color w:val="1F3864"/>
          <w:sz w:val="26"/>
          <w:szCs w:val="26"/>
        </w:rPr>
        <w:t xml:space="preserve">Diagram Type</w:t>
      </w:r>
    </w:p>
    <w:p>
      <w:pPr>
        <w:pStyle w:val="ListParagraph"/>
        <w:numPr>
          <w:ilvl w:val="0"/>
          <w:numId w:val="2"/>
        </w:numPr>
        <w:spacing w:after="40" w:before="40"/>
      </w:pPr>
      <w:r>
        <w:rPr>
          <w:rFonts w:ascii="Arial" w:cs="Arial" w:eastAsia="Arial" w:hAnsi="Arial"/>
          <w:color w:val="000000"/>
          <w:sz w:val="21"/>
          <w:szCs w:val="21"/>
        </w:rPr>
        <w:t xml:space="preserve">Single SVG canvas, self-contained HTML file</w:t>
      </w:r>
    </w:p>
    <w:p>
      <w:pPr>
        <w:pStyle w:val="ListParagraph"/>
        <w:numPr>
          <w:ilvl w:val="0"/>
          <w:numId w:val="2"/>
        </w:numPr>
        <w:spacing w:after="40" w:before="40"/>
      </w:pPr>
      <w:r>
        <w:rPr>
          <w:rFonts w:ascii="Arial" w:cs="Arial" w:eastAsia="Arial" w:hAnsi="Arial"/>
          <w:color w:val="000000"/>
          <w:sz w:val="21"/>
          <w:szCs w:val="21"/>
        </w:rPr>
        <w:t xml:space="preserve">No React, no build step, no external JS libraries</w:t>
      </w:r>
    </w:p>
    <w:p>
      <w:pPr>
        <w:pStyle w:val="ListParagraph"/>
        <w:numPr>
          <w:ilvl w:val="0"/>
          <w:numId w:val="2"/>
        </w:numPr>
        <w:spacing w:after="40" w:before="40"/>
      </w:pPr>
      <w:r>
        <w:rPr>
          <w:rFonts w:ascii="Arial" w:cs="Arial" w:eastAsia="Arial" w:hAnsi="Arial"/>
          <w:color w:val="000000"/>
          <w:sz w:val="21"/>
          <w:szCs w:val="21"/>
        </w:rPr>
        <w:t xml:space="preserve">Full viewport width — no horizontal scroll</w:t>
      </w:r>
    </w:p>
    <w:p>
      <w:pPr>
        <w:pStyle w:val="ListParagraph"/>
        <w:numPr>
          <w:ilvl w:val="0"/>
          <w:numId w:val="2"/>
        </w:numPr>
        <w:spacing w:after="40" w:before="40"/>
      </w:pPr>
      <w:r>
        <w:rPr>
          <w:rFonts w:ascii="Arial" w:cs="Arial" w:eastAsia="Arial" w:hAnsi="Arial"/>
          <w:color w:val="000000"/>
          <w:sz w:val="21"/>
          <w:szCs w:val="21"/>
        </w:rPr>
        <w:t xml:space="preserve">Vertically scrollable if needed</w:t>
      </w:r>
    </w:p>
    <w:p>
      <w:pPr>
        <w:spacing w:after="80" w:before="80"/>
      </w:pPr>
    </w:p>
    <w:p>
      <w:pPr>
        <w:pStyle w:val="Heading2"/>
        <w:spacing w:after="80" w:before="240"/>
      </w:pPr>
      <w:r>
        <w:rPr>
          <w:rFonts w:ascii="Arial" w:cs="Arial" w:eastAsia="Arial" w:hAnsi="Arial"/>
          <w:b/>
          <w:bCs/>
          <w:color w:val="1F3864"/>
          <w:sz w:val="26"/>
          <w:szCs w:val="26"/>
        </w:rPr>
        <w:t xml:space="preserve">Layout Structure</w:t>
      </w:r>
    </w:p>
    <w:p>
      <w:pPr>
        <w:pStyle w:val="ListParagraph"/>
        <w:numPr>
          <w:ilvl w:val="0"/>
          <w:numId w:val="2"/>
        </w:numPr>
        <w:spacing w:after="40" w:before="40"/>
      </w:pPr>
      <w:r>
        <w:rPr>
          <w:rFonts w:ascii="Arial" w:cs="Arial" w:eastAsia="Arial" w:hAnsi="Arial"/>
          <w:color w:val="000000"/>
          <w:sz w:val="21"/>
          <w:szCs w:val="21"/>
        </w:rPr>
        <w:t xml:space="preserve">LEFT HALF: H-1B stream (blue color family, #4472C4 and variants)</w:t>
      </w:r>
    </w:p>
    <w:p>
      <w:pPr>
        <w:pStyle w:val="ListParagraph"/>
        <w:numPr>
          <w:ilvl w:val="0"/>
          <w:numId w:val="2"/>
        </w:numPr>
        <w:spacing w:after="40" w:before="40"/>
      </w:pPr>
      <w:r>
        <w:rPr>
          <w:rFonts w:ascii="Arial" w:cs="Arial" w:eastAsia="Arial" w:hAnsi="Arial"/>
          <w:color w:val="000000"/>
          <w:sz w:val="21"/>
          <w:szCs w:val="21"/>
        </w:rPr>
        <w:t xml:space="preserve">RIGHT HALF: H-2 stream (green color family, #548235 and variants)</w:t>
      </w:r>
    </w:p>
    <w:p>
      <w:pPr>
        <w:pStyle w:val="ListParagraph"/>
        <w:numPr>
          <w:ilvl w:val="0"/>
          <w:numId w:val="2"/>
        </w:numPr>
        <w:spacing w:after="40" w:before="40"/>
      </w:pPr>
      <w:r>
        <w:rPr>
          <w:rFonts w:ascii="Arial" w:cs="Arial" w:eastAsia="Arial" w:hAnsi="Arial"/>
          <w:color w:val="000000"/>
          <w:sz w:val="21"/>
          <w:szCs w:val="21"/>
        </w:rPr>
        <w:t xml:space="preserve">CENTER TOP: Shared nodes — The Big Three Asset Managers + Narrative Infrastructure</w:t>
      </w:r>
    </w:p>
    <w:p>
      <w:pPr>
        <w:pStyle w:val="ListParagraph"/>
        <w:numPr>
          <w:ilvl w:val="0"/>
          <w:numId w:val="2"/>
        </w:numPr>
        <w:spacing w:after="40" w:before="40"/>
      </w:pPr>
      <w:r>
        <w:rPr>
          <w:rFonts w:ascii="Arial" w:cs="Arial" w:eastAsia="Arial" w:hAnsi="Arial"/>
          <w:color w:val="000000"/>
          <w:sz w:val="21"/>
          <w:szCs w:val="21"/>
        </w:rPr>
        <w:t xml:space="preserve">CENTER BOTTOM: Two separate 'American People' nodes (one per stream, same entity, connected by thin horizontal line)</w:t>
      </w:r>
    </w:p>
    <w:p>
      <w:pPr>
        <w:pStyle w:val="ListParagraph"/>
        <w:numPr>
          <w:ilvl w:val="0"/>
          <w:numId w:val="2"/>
        </w:numPr>
        <w:spacing w:after="40" w:before="40"/>
      </w:pPr>
      <w:r>
        <w:rPr>
          <w:rFonts w:ascii="Arial" w:cs="Arial" w:eastAsia="Arial" w:hAnsi="Arial"/>
          <w:color w:val="000000"/>
          <w:sz w:val="21"/>
          <w:szCs w:val="21"/>
        </w:rPr>
        <w:t xml:space="preserve">Vertical dashed center divider line separating the two streams</w:t>
      </w:r>
    </w:p>
    <w:p>
      <w:pPr>
        <w:pStyle w:val="ListParagraph"/>
        <w:numPr>
          <w:ilvl w:val="0"/>
          <w:numId w:val="2"/>
        </w:numPr>
        <w:spacing w:after="40" w:before="40"/>
      </w:pPr>
      <w:r>
        <w:rPr>
          <w:rFonts w:ascii="Arial" w:cs="Arial" w:eastAsia="Arial" w:hAnsi="Arial"/>
          <w:color w:val="000000"/>
          <w:sz w:val="21"/>
          <w:szCs w:val="21"/>
        </w:rPr>
        <w:t xml:space="preserve">Stream labels: '◀── H-1B STREAM ──▶' and '◀── H-2 STREAM ──▶' at top</w:t>
      </w:r>
    </w:p>
    <w:p>
      <w:pPr>
        <w:spacing w:after="80" w:before="80"/>
      </w:pPr>
    </w:p>
    <w:p>
      <w:pPr>
        <w:pStyle w:val="Heading2"/>
        <w:spacing w:after="80" w:before="240"/>
      </w:pPr>
      <w:r>
        <w:rPr>
          <w:rFonts w:ascii="Arial" w:cs="Arial" w:eastAsia="Arial" w:hAnsi="Arial"/>
          <w:b/>
          <w:bCs/>
          <w:color w:val="1F3864"/>
          <w:sz w:val="26"/>
          <w:szCs w:val="26"/>
        </w:rPr>
        <w:t xml:space="preserve">Node Tier Structure (Vertical Positions)</w:t>
      </w:r>
    </w:p>
    <w:p>
      <w:pPr>
        <w:spacing w:after="60" w:before="60"/>
      </w:pPr>
      <w:r>
        <w:rPr>
          <w:rFonts w:ascii="Arial" w:cs="Arial" w:eastAsia="Arial" w:hAnsi="Arial"/>
          <w:sz w:val="22"/>
          <w:szCs w:val="22"/>
        </w:rPr>
        <w:t xml:space="preserve">Nodes at the same tier share the same Y position. Horizontal spacing fills the stream half.</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800"/>
        <w:gridCol w:w="3330"/>
        <w:gridCol w:w="333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Tier</w:t>
            </w:r>
          </w:p>
        </w:tc>
        <w:tc>
          <w:tcPr>
            <w:tcW w:type="dxa" w:w="33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H-1B Stream (Left)</w:t>
            </w:r>
          </w:p>
        </w:tc>
        <w:tc>
          <w:tcPr>
            <w:tcW w:type="dxa" w:w="33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H-2 Stream (Right)</w:t>
            </w:r>
          </w:p>
        </w:tc>
      </w:tr>
      <w:tr>
        <w:tc>
          <w:tcPr>
            <w:tcW w:type="dxa" w:w="8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19"/>
                <w:szCs w:val="19"/>
              </w:rPr>
              <w:t xml:space="preserve">SHARED TOP</w:t>
            </w:r>
          </w:p>
        </w:tc>
        <w:tc>
          <w:tcPr>
            <w:tcW w:type="dxa" w:w="33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The Big Three Asset Managers (centered)
+ Narrative Infrastructure (side node, right)</w:t>
            </w:r>
          </w:p>
        </w:tc>
        <w:tc>
          <w:tcPr>
            <w:tcW w:type="dxa" w:w="33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 same →</w:t>
            </w:r>
          </w:p>
        </w:tc>
      </w:tr>
      <w:tr>
        <w:tc>
          <w:tcPr>
            <w:tcW w:type="dxa" w:w="8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19"/>
                <w:szCs w:val="19"/>
              </w:rPr>
              <w:t xml:space="preserve">2</w:t>
            </w:r>
          </w:p>
        </w:tc>
        <w:tc>
          <w:tcPr>
            <w:tcW w:type="dxa" w:w="33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Universities (side node, left lateral only)
Tech Direct Sponsors [same level as →]</w:t>
            </w:r>
          </w:p>
        </w:tc>
        <w:tc>
          <w:tcPr>
            <w:tcW w:type="dxa" w:w="33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Private Equity (side node, right lateral only)
Large AG / Seasonal Operators [same level as →]
+ H-2B Direct Sponsors</w:t>
            </w:r>
          </w:p>
        </w:tc>
      </w:tr>
      <w:tr>
        <w:tc>
          <w:tcPr>
            <w:tcW w:type="dxa" w:w="8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19"/>
                <w:szCs w:val="19"/>
              </w:rPr>
              <w:t xml:space="preserve">3</w:t>
            </w:r>
          </w:p>
        </w:tc>
        <w:tc>
          <w:tcPr>
            <w:tcW w:type="dxa" w:w="33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Outsourcing / Staffing Firms</w:t>
            </w:r>
          </w:p>
        </w:tc>
        <w:tc>
          <w:tcPr>
            <w:tcW w:type="dxa" w:w="33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H-2A End-User Farms</w:t>
            </w:r>
          </w:p>
        </w:tc>
      </w:tr>
      <w:tr>
        <w:tc>
          <w:tcPr>
            <w:tcW w:type="dxa" w:w="8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19"/>
                <w:szCs w:val="19"/>
              </w:rPr>
              <w:t xml:space="preserve">4</w:t>
            </w:r>
          </w:p>
        </w:tc>
        <w:tc>
          <w:tcPr>
            <w:tcW w:type="dxa" w:w="33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H-1B Workers</w:t>
            </w:r>
          </w:p>
        </w:tc>
        <w:tc>
          <w:tcPr>
            <w:tcW w:type="dxa" w:w="33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Farm Labor Contractors / FLCs
(BELOW end-user farms — human logic, not legal hierarchy)</w:t>
            </w:r>
          </w:p>
        </w:tc>
      </w:tr>
      <w:tr>
        <w:tc>
          <w:tcPr>
            <w:tcW w:type="dxa" w:w="8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19"/>
                <w:szCs w:val="19"/>
              </w:rPr>
              <w:t xml:space="preserve">5</w:t>
            </w:r>
          </w:p>
        </w:tc>
        <w:tc>
          <w:tcPr>
            <w:tcW w:type="dxa" w:w="33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U.S. Tech Workers</w:t>
            </w:r>
          </w:p>
        </w:tc>
        <w:tc>
          <w:tcPr>
            <w:tcW w:type="dxa" w:w="33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H-2A Workers + H-2B Workers (separate nodes, same level)</w:t>
            </w:r>
          </w:p>
        </w:tc>
      </w:tr>
      <w:tr>
        <w:tc>
          <w:tcPr>
            <w:tcW w:type="dxa" w:w="8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19"/>
                <w:szCs w:val="19"/>
              </w:rPr>
              <w:t xml:space="preserve">BOTTOM</w:t>
            </w:r>
          </w:p>
        </w:tc>
        <w:tc>
          <w:tcPr>
            <w:tcW w:type="dxa" w:w="33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American People (H-1B side)</w:t>
            </w:r>
          </w:p>
        </w:tc>
        <w:tc>
          <w:tcPr>
            <w:tcW w:type="dxa" w:w="33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U.S. Farm/Seasonal Workers
American People (H-2 side)</w:t>
            </w:r>
          </w:p>
        </w:tc>
      </w:tr>
    </w:tbl>
    <w:p>
      <w:pPr>
        <w:spacing w:after="80" w:before="80"/>
      </w:pPr>
    </w:p>
    <w:p>
      <w:pPr>
        <w:pStyle w:val="Heading2"/>
        <w:spacing w:after="80" w:before="240"/>
      </w:pPr>
      <w:r>
        <w:rPr>
          <w:rFonts w:ascii="Arial" w:cs="Arial" w:eastAsia="Arial" w:hAnsi="Arial"/>
          <w:b/>
          <w:bCs/>
          <w:color w:val="1F3864"/>
          <w:sz w:val="26"/>
          <w:szCs w:val="26"/>
        </w:rPr>
        <w:t xml:space="preserve">Critical Structural Decisions</w:t>
      </w:r>
    </w:p>
    <w:p>
      <w:pPr>
        <w:shd w:fill="FFF3CD" w:val="clear"/>
        <w:spacing w:after="80" w:before="80"/>
      </w:pPr>
      <w:r>
        <w:rPr>
          <w:rFonts w:ascii="Arial" w:cs="Arial" w:eastAsia="Arial" w:hAnsi="Arial"/>
          <w:b w:val="false"/>
          <w:bCs w:val="false"/>
          <w:color w:val="7F6000"/>
          <w:sz w:val="22"/>
          <w:szCs w:val="22"/>
        </w:rPr>
        <w:t xml:space="preserve">1. FLCs sit BELOW End-User Farms in the visual. The chain reads Workers → Farms → FLCs → Large AG. This follows human/labor logic, not legal certification order. Arrow direction carries the economic directionality.</w:t>
      </w:r>
    </w:p>
    <w:p>
      <w:pPr>
        <w:shd w:fill="FFF3CD" w:val="clear"/>
        <w:spacing w:after="80" w:before="80"/>
      </w:pPr>
      <w:r>
        <w:rPr>
          <w:rFonts w:ascii="Arial" w:cs="Arial" w:eastAsia="Arial" w:hAnsi="Arial"/>
          <w:b w:val="false"/>
          <w:bCs w:val="false"/>
          <w:color w:val="7F6000"/>
          <w:sz w:val="22"/>
          <w:szCs w:val="22"/>
        </w:rPr>
        <w:t xml:space="preserve">2. H-2A Workers and H-2B Workers are SEPARATE nodes at the same vertical level. H-2A connects up through the FLC chain. H-2B connects directly to H-2B Direct Sponsors (dashed line, no FLC intermediary).</w:t>
      </w:r>
    </w:p>
    <w:p>
      <w:pPr>
        <w:shd w:fill="FFF3CD" w:val="clear"/>
        <w:spacing w:after="80" w:before="80"/>
      </w:pPr>
      <w:r>
        <w:rPr>
          <w:rFonts w:ascii="Arial" w:cs="Arial" w:eastAsia="Arial" w:hAnsi="Arial"/>
          <w:b w:val="false"/>
          <w:bCs w:val="false"/>
          <w:color w:val="7F6000"/>
          <w:sz w:val="22"/>
          <w:szCs w:val="22"/>
        </w:rPr>
        <w:t xml:space="preserve">3. 'American People' appears at the bottom of BOTH streams as separate nodes connected by a horizontal line. Same 128M retirement holders fund both streams simultaneously. This is the machine's 'one machine' proof.</w:t>
      </w:r>
    </w:p>
    <w:p>
      <w:pPr>
        <w:shd w:fill="FFF3CD" w:val="clear"/>
        <w:spacing w:after="80" w:before="80"/>
      </w:pPr>
      <w:r>
        <w:rPr>
          <w:rFonts w:ascii="Arial" w:cs="Arial" w:eastAsia="Arial" w:hAnsi="Arial"/>
          <w:b w:val="false"/>
          <w:bCs w:val="false"/>
          <w:color w:val="7F6000"/>
          <w:sz w:val="22"/>
          <w:szCs w:val="22"/>
        </w:rPr>
        <w:t xml:space="preserve">4. Universities (H-1B) and Private Equity (H-2) are side nodes with lateral connections only. They are NOT in the main vertical chain. They feed into it horizontally.</w:t>
      </w:r>
    </w:p>
    <w:p>
      <w:pPr>
        <w:shd w:fill="FFF3CD" w:val="clear"/>
        <w:spacing w:after="80" w:before="80"/>
      </w:pPr>
      <w:r>
        <w:rPr>
          <w:rFonts w:ascii="Arial" w:cs="Arial" w:eastAsia="Arial" w:hAnsi="Arial"/>
          <w:b w:val="false"/>
          <w:bCs w:val="false"/>
          <w:color w:val="7F6000"/>
          <w:sz w:val="22"/>
          <w:szCs w:val="22"/>
        </w:rPr>
        <w:t xml:space="preserve">5. The Big Three are now labeled 'The Big Three Asset Managers' — not 'Institutional Asset Managers'.</w:t>
      </w:r>
    </w:p>
    <w:p>
      <w:pPr>
        <w:spacing w:after="80" w:before="80"/>
      </w:pPr>
    </w:p>
    <w:p>
      <w:pPr>
        <w:pStyle w:val="Heading2"/>
        <w:spacing w:after="80" w:before="240"/>
      </w:pPr>
      <w:r>
        <w:rPr>
          <w:rFonts w:ascii="Arial" w:cs="Arial" w:eastAsia="Arial" w:hAnsi="Arial"/>
          <w:b/>
          <w:bCs/>
          <w:color w:val="1F3864"/>
          <w:sz w:val="26"/>
          <w:szCs w:val="26"/>
        </w:rPr>
        <w:t xml:space="preserve">Two Paths Per Stream</w:t>
      </w:r>
    </w:p>
    <w:p>
      <w:pPr>
        <w:pStyle w:val="Heading3"/>
        <w:spacing w:after="60" w:before="180"/>
      </w:pPr>
      <w:r>
        <w:rPr>
          <w:rFonts w:ascii="Arial" w:cs="Arial" w:eastAsia="Arial" w:hAnsi="Arial"/>
          <w:b/>
          <w:bCs/>
          <w:color w:val="1F3864"/>
          <w:sz w:val="24"/>
          <w:szCs w:val="24"/>
        </w:rPr>
        <w:t xml:space="preserve">H-1B Stream</w:t>
      </w:r>
    </w:p>
    <w:p>
      <w:pPr>
        <w:pStyle w:val="ListParagraph"/>
        <w:numPr>
          <w:ilvl w:val="0"/>
          <w:numId w:val="2"/>
        </w:numPr>
        <w:spacing w:after="40" w:before="40"/>
      </w:pPr>
      <w:r>
        <w:rPr>
          <w:rFonts w:ascii="Arial" w:cs="Arial" w:eastAsia="Arial" w:hAnsi="Arial"/>
          <w:color w:val="000000"/>
          <w:sz w:val="21"/>
          <w:szCs w:val="21"/>
        </w:rPr>
        <w:t xml:space="preserve">PATH 1 (solid line): H-1B Workers → Outsourcing/Staffing Firms → H-1B End-Client Companies</w:t>
      </w:r>
    </w:p>
    <w:p>
      <w:pPr>
        <w:pStyle w:val="ListParagraph"/>
        <w:numPr>
          <w:ilvl w:val="0"/>
          <w:numId w:val="2"/>
        </w:numPr>
        <w:spacing w:after="40" w:before="40"/>
      </w:pPr>
      <w:r>
        <w:rPr>
          <w:rFonts w:ascii="Arial" w:cs="Arial" w:eastAsia="Arial" w:hAnsi="Arial"/>
          <w:color w:val="000000"/>
          <w:sz w:val="21"/>
          <w:szCs w:val="21"/>
        </w:rPr>
        <w:t xml:space="preserve">PATH 2 (dashed line): H-1B Workers → Tech Direct Sponsors (direct employment, no intermediary)</w:t>
      </w:r>
    </w:p>
    <w:p>
      <w:pPr>
        <w:pStyle w:val="ListParagraph"/>
        <w:numPr>
          <w:ilvl w:val="0"/>
          <w:numId w:val="2"/>
        </w:numPr>
        <w:spacing w:after="40" w:before="40"/>
      </w:pPr>
      <w:r>
        <w:rPr>
          <w:rFonts w:ascii="Arial" w:cs="Arial" w:eastAsia="Arial" w:hAnsi="Arial"/>
          <w:color w:val="000000"/>
          <w:sz w:val="21"/>
          <w:szCs w:val="21"/>
        </w:rPr>
        <w:t xml:space="preserve">End-Client Companies and Tech Direct Sponsors sit at the SAME lateral level (Tier 2)</w:t>
      </w:r>
    </w:p>
    <w:p>
      <w:pPr>
        <w:spacing w:after="80" w:before="80"/>
      </w:pPr>
    </w:p>
    <w:p>
      <w:pPr>
        <w:pStyle w:val="Heading3"/>
        <w:spacing w:after="60" w:before="180"/>
      </w:pPr>
      <w:r>
        <w:rPr>
          <w:rFonts w:ascii="Arial" w:cs="Arial" w:eastAsia="Arial" w:hAnsi="Arial"/>
          <w:b/>
          <w:bCs/>
          <w:color w:val="1F3864"/>
          <w:sz w:val="24"/>
          <w:szCs w:val="24"/>
        </w:rPr>
        <w:t xml:space="preserve">H-2 Stream</w:t>
      </w:r>
    </w:p>
    <w:p>
      <w:pPr>
        <w:pStyle w:val="ListParagraph"/>
        <w:numPr>
          <w:ilvl w:val="0"/>
          <w:numId w:val="2"/>
        </w:numPr>
        <w:spacing w:after="40" w:before="40"/>
      </w:pPr>
      <w:r>
        <w:rPr>
          <w:rFonts w:ascii="Arial" w:cs="Arial" w:eastAsia="Arial" w:hAnsi="Arial"/>
          <w:color w:val="000000"/>
          <w:sz w:val="21"/>
          <w:szCs w:val="21"/>
        </w:rPr>
        <w:t xml:space="preserve">PATH 1 (solid line): H-2A Workers → End-User Farms → FLCs → Large AG Operators</w:t>
      </w:r>
    </w:p>
    <w:p>
      <w:pPr>
        <w:pStyle w:val="ListParagraph"/>
        <w:numPr>
          <w:ilvl w:val="0"/>
          <w:numId w:val="2"/>
        </w:numPr>
        <w:spacing w:after="40" w:before="40"/>
      </w:pPr>
      <w:r>
        <w:rPr>
          <w:rFonts w:ascii="Arial" w:cs="Arial" w:eastAsia="Arial" w:hAnsi="Arial"/>
          <w:color w:val="000000"/>
          <w:sz w:val="21"/>
          <w:szCs w:val="21"/>
        </w:rPr>
        <w:t xml:space="preserve">PATH 2 (dashed line): H-2B Workers → H-2B Direct Sponsors (direct employment, no FLC)</w:t>
      </w:r>
    </w:p>
    <w:p>
      <w:pPr>
        <w:pStyle w:val="ListParagraph"/>
        <w:numPr>
          <w:ilvl w:val="0"/>
          <w:numId w:val="2"/>
        </w:numPr>
        <w:spacing w:after="40" w:before="40"/>
      </w:pPr>
      <w:r>
        <w:rPr>
          <w:rFonts w:ascii="Arial" w:cs="Arial" w:eastAsia="Arial" w:hAnsi="Arial"/>
          <w:color w:val="000000"/>
          <w:sz w:val="21"/>
          <w:szCs w:val="21"/>
        </w:rPr>
        <w:t xml:space="preserve">Large AG Operators and H-2B Direct Sponsors sit at the SAME lateral level (Tier 2)</w:t>
      </w:r>
    </w:p>
    <w:p>
      <w:pPr>
        <w:spacing w:after="80" w:before="80"/>
      </w:pPr>
    </w:p>
    <w:p>
      <w:pPr>
        <w:pStyle w:val="Heading2"/>
        <w:spacing w:after="80" w:before="240"/>
      </w:pPr>
      <w:r>
        <w:rPr>
          <w:rFonts w:ascii="Arial" w:cs="Arial" w:eastAsia="Arial" w:hAnsi="Arial"/>
          <w:b/>
          <w:bCs/>
          <w:color w:val="1F3864"/>
          <w:sz w:val="26"/>
          <w:szCs w:val="26"/>
        </w:rPr>
        <w:t xml:space="preserve">Edge Style System</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4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Type</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Color</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Weight</w:t>
            </w:r>
          </w:p>
        </w:tc>
        <w:tc>
          <w:tcPr>
            <w:tcW w:type="dxa" w:w="44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Usage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h1b-solid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#4472C4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2px</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H-1B main labor/ownership chain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h1b-dashed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#4472C4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2px, 8/4 dash</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H-1B direct path (workers → tech sponsors)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h1b-side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#9DC3E6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1.5px, 5/3 dash</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H-1B lateral connections (universities)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h2-solid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#548235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2px</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H-2 main labor/ownership chain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h2-dashed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#548235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2px, 8/4 dash</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H-2B direct path (workers → H-2B sponsors)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narrative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#C9A227</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1.5px, 5/3 dash</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Narrative infrastructure influence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return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#D95B5B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1.5px, 8/4 dash</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Profit return loops (ap → am, tds → am, etc.)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connector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#4A0000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1px solid</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American People ↔ American People bottom link</w:t>
            </w:r>
          </w:p>
        </w:tc>
      </w:tr>
    </w:tbl>
    <w:p>
      <w:pPr>
        <w:spacing w:after="80" w:before="80"/>
      </w:pPr>
    </w:p>
    <w:p>
      <w:pPr>
        <w:pStyle w:val="Heading2"/>
        <w:spacing w:after="80" w:before="240"/>
      </w:pPr>
      <w:r>
        <w:rPr>
          <w:rFonts w:ascii="Arial" w:cs="Arial" w:eastAsia="Arial" w:hAnsi="Arial"/>
          <w:b/>
          <w:bCs/>
          <w:color w:val="1F3864"/>
          <w:sz w:val="26"/>
          <w:szCs w:val="26"/>
        </w:rPr>
        <w:t xml:space="preserve">Interaction Model</w:t>
      </w:r>
    </w:p>
    <w:p>
      <w:pPr>
        <w:pStyle w:val="Heading3"/>
        <w:spacing w:after="60" w:before="180"/>
      </w:pPr>
      <w:r>
        <w:rPr>
          <w:rFonts w:ascii="Arial" w:cs="Arial" w:eastAsia="Arial" w:hAnsi="Arial"/>
          <w:b/>
          <w:bCs/>
          <w:color w:val="1F3864"/>
          <w:sz w:val="24"/>
          <w:szCs w:val="24"/>
        </w:rPr>
        <w:t xml:space="preserve">Hover Behavior</w:t>
      </w:r>
    </w:p>
    <w:p>
      <w:pPr>
        <w:pStyle w:val="ListParagraph"/>
        <w:numPr>
          <w:ilvl w:val="0"/>
          <w:numId w:val="2"/>
        </w:numPr>
        <w:spacing w:after="40" w:before="40"/>
      </w:pPr>
      <w:r>
        <w:rPr>
          <w:rFonts w:ascii="Arial" w:cs="Arial" w:eastAsia="Arial" w:hAnsi="Arial"/>
          <w:color w:val="000000"/>
          <w:sz w:val="21"/>
          <w:szCs w:val="21"/>
        </w:rPr>
        <w:t xml:space="preserve">Hover edge: that edge highlights (3–4px) · all others dim to ~10% · connected nodes highlight · tooltip shows one-sentence label</w:t>
      </w:r>
    </w:p>
    <w:p>
      <w:pPr>
        <w:pStyle w:val="ListParagraph"/>
        <w:numPr>
          <w:ilvl w:val="0"/>
          <w:numId w:val="2"/>
        </w:numPr>
        <w:spacing w:after="40" w:before="40"/>
      </w:pPr>
      <w:r>
        <w:rPr>
          <w:rFonts w:ascii="Arial" w:cs="Arial" w:eastAsia="Arial" w:hAnsi="Arial"/>
          <w:color w:val="000000"/>
          <w:sz w:val="21"/>
          <w:szCs w:val="21"/>
        </w:rPr>
        <w:t xml:space="preserve">Hover node: all connected edges highlight · all others dim · all connected nodes highlight · no tooltip (save detail for click)</w:t>
      </w:r>
    </w:p>
    <w:p>
      <w:pPr>
        <w:pStyle w:val="ListParagraph"/>
        <w:numPr>
          <w:ilvl w:val="0"/>
          <w:numId w:val="2"/>
        </w:numPr>
        <w:spacing w:after="40" w:before="40"/>
      </w:pPr>
      <w:r>
        <w:rPr>
          <w:rFonts w:ascii="Arial" w:cs="Arial" w:eastAsia="Arial" w:hAnsi="Arial"/>
          <w:color w:val="000000"/>
          <w:sz w:val="21"/>
          <w:szCs w:val="21"/>
        </w:rPr>
        <w:t xml:space="preserve">Nothing hovered: all edges at 48% opacity · all nodes 100%</w:t>
      </w:r>
    </w:p>
    <w:p>
      <w:pPr>
        <w:spacing w:after="80" w:before="80"/>
      </w:pPr>
    </w:p>
    <w:p>
      <w:pPr>
        <w:pStyle w:val="Heading3"/>
        <w:spacing w:after="60" w:before="180"/>
      </w:pPr>
      <w:r>
        <w:rPr>
          <w:rFonts w:ascii="Arial" w:cs="Arial" w:eastAsia="Arial" w:hAnsi="Arial"/>
          <w:b/>
          <w:bCs/>
          <w:color w:val="1F3864"/>
          <w:sz w:val="24"/>
          <w:szCs w:val="24"/>
        </w:rPr>
        <w:t xml:space="preserve">Click Behavior — Modal</w:t>
      </w:r>
    </w:p>
    <w:p>
      <w:pPr>
        <w:shd w:fill="EAF1FB" w:val="clear"/>
        <w:spacing w:after="80" w:before="80"/>
      </w:pPr>
      <w:r>
        <w:rPr>
          <w:rFonts w:ascii="Arial" w:cs="Arial" w:eastAsia="Arial" w:hAnsi="Arial"/>
          <w:b w:val="false"/>
          <w:bCs w:val="false"/>
          <w:color w:val="1F3864"/>
          <w:sz w:val="22"/>
          <w:szCs w:val="22"/>
        </w:rPr>
        <w:t xml:space="preserve">DECISION: Click interactions open a MODAL overlay (not a tooltip). Modal works on all devices including mobile. Tooltip does not work on mobile (no hover). Modal stays open until user clicks X or outside the box.</w:t>
      </w:r>
    </w:p>
    <w:p>
      <w:pPr>
        <w:spacing w:after="80" w:before="80"/>
      </w:pPr>
    </w:p>
    <w:p>
      <w:pPr>
        <w:pStyle w:val="ListParagraph"/>
        <w:numPr>
          <w:ilvl w:val="0"/>
          <w:numId w:val="2"/>
        </w:numPr>
        <w:spacing w:after="40" w:before="40"/>
      </w:pPr>
      <w:r>
        <w:rPr>
          <w:rFonts w:ascii="Arial" w:cs="Arial" w:eastAsia="Arial" w:hAnsi="Arial"/>
          <w:color w:val="000000"/>
          <w:sz w:val="21"/>
          <w:szCs w:val="21"/>
        </w:rPr>
        <w:t xml:space="preserve">Modal contains: node title · company logos (if applicable) · classification paragraph · key data bullets (sourced) · upstream/downstream effect summary · primary source links</w:t>
      </w:r>
    </w:p>
    <w:p>
      <w:pPr>
        <w:pStyle w:val="ListParagraph"/>
        <w:numPr>
          <w:ilvl w:val="0"/>
          <w:numId w:val="2"/>
        </w:numPr>
        <w:spacing w:after="40" w:before="40"/>
      </w:pPr>
      <w:r>
        <w:rPr>
          <w:rFonts w:ascii="Arial" w:cs="Arial" w:eastAsia="Arial" w:hAnsi="Arial"/>
          <w:color w:val="000000"/>
          <w:sz w:val="21"/>
          <w:szCs w:val="21"/>
        </w:rPr>
        <w:t xml:space="preserve">Dark semi-transparent backdrop · centered card · close button top-right · Escape key closes</w:t>
      </w:r>
    </w:p>
    <w:p>
      <w:pPr>
        <w:spacing w:after="80" w:before="80"/>
      </w:pPr>
    </w:p>
    <w:p>
      <w:pPr>
        <w:pStyle w:val="Heading2"/>
        <w:spacing w:after="80" w:before="240"/>
      </w:pPr>
      <w:r>
        <w:rPr>
          <w:rFonts w:ascii="Arial" w:cs="Arial" w:eastAsia="Arial" w:hAnsi="Arial"/>
          <w:b/>
          <w:bCs/>
          <w:color w:val="1F3864"/>
          <w:sz w:val="26"/>
          <w:szCs w:val="26"/>
        </w:rPr>
        <w:t xml:space="preserve">Company Logos</w:t>
      </w:r>
    </w:p>
    <w:p>
      <w:pPr>
        <w:pStyle w:val="ListParagraph"/>
        <w:numPr>
          <w:ilvl w:val="0"/>
          <w:numId w:val="2"/>
        </w:numPr>
        <w:spacing w:after="40" w:before="40"/>
      </w:pPr>
      <w:r>
        <w:rPr>
          <w:rFonts w:ascii="Arial" w:cs="Arial" w:eastAsia="Arial" w:hAnsi="Arial"/>
          <w:color w:val="000000"/>
          <w:sz w:val="21"/>
          <w:szCs w:val="21"/>
        </w:rPr>
        <w:t xml:space="preserve">Display beneath node title in node box AND/OR in modal header</w:t>
      </w:r>
    </w:p>
    <w:p>
      <w:pPr>
        <w:pStyle w:val="ListParagraph"/>
        <w:numPr>
          <w:ilvl w:val="0"/>
          <w:numId w:val="2"/>
        </w:numPr>
        <w:spacing w:after="40" w:before="40"/>
      </w:pPr>
      <w:r>
        <w:rPr>
          <w:rFonts w:ascii="Arial" w:cs="Arial" w:eastAsia="Arial" w:hAnsi="Arial"/>
          <w:color w:val="000000"/>
          <w:sz w:val="21"/>
          <w:szCs w:val="21"/>
        </w:rPr>
        <w:t xml:space="preserve">Store in /visa/logos/ directory</w:t>
      </w:r>
    </w:p>
    <w:p>
      <w:pPr>
        <w:pStyle w:val="ListParagraph"/>
        <w:numPr>
          <w:ilvl w:val="0"/>
          <w:numId w:val="2"/>
        </w:numPr>
        <w:spacing w:after="40" w:before="40"/>
      </w:pPr>
      <w:r>
        <w:rPr>
          <w:rFonts w:ascii="Arial" w:cs="Arial" w:eastAsia="Arial" w:hAnsi="Arial"/>
          <w:color w:val="000000"/>
          <w:sz w:val="21"/>
          <w:szCs w:val="21"/>
        </w:rPr>
        <w:t xml:space="preserve">Display at 24–28px height, grayscale default, full color in modal</w:t>
      </w:r>
    </w:p>
    <w:p>
      <w:pPr>
        <w:pStyle w:val="ListParagraph"/>
        <w:numPr>
          <w:ilvl w:val="0"/>
          <w:numId w:val="2"/>
        </w:numPr>
        <w:spacing w:after="40" w:before="40"/>
      </w:pPr>
      <w:r>
        <w:rPr>
          <w:rFonts w:ascii="Arial" w:cs="Arial" w:eastAsia="Arial" w:hAnsi="Arial"/>
          <w:color w:val="000000"/>
          <w:sz w:val="21"/>
          <w:szCs w:val="21"/>
        </w:rPr>
        <w:t xml:space="preserve">Nodes with logo slots: The Big Three (BlackRock/Vanguard/State Street) · Tech Direct Sponsors (Amazon/Meta/Microsoft/Google) · H-1B End-Client Companies (Citi/JPMorgan/Goldman/Verizon) · Outsourcing Firms (TCS/Cognizant/Infosys) · Large AG Operators (Dole/Taylor Farms)</w:t>
      </w:r>
    </w:p>
    <w:p>
      <w:pPr>
        <w:pStyle w:val="ListParagraph"/>
        <w:numPr>
          <w:ilvl w:val="0"/>
          <w:numId w:val="2"/>
        </w:numPr>
        <w:spacing w:after="40" w:before="40"/>
      </w:pPr>
      <w:r>
        <w:rPr>
          <w:rFonts w:ascii="Arial" w:cs="Arial" w:eastAsia="Arial" w:hAnsi="Arial"/>
          <w:color w:val="000000"/>
          <w:sz w:val="21"/>
          <w:szCs w:val="21"/>
        </w:rPr>
        <w:t xml:space="preserve">If logos unavailable: company name text badges</w:t>
      </w:r>
    </w:p>
    <w:p>
      <w:pPr>
        <w:spacing w:after="80" w:before="80"/>
      </w:pPr>
    </w:p>
    <w:p>
      <w:pPr>
        <w:pStyle w:val="Heading2"/>
        <w:spacing w:after="80" w:before="240"/>
      </w:pPr>
      <w:r>
        <w:rPr>
          <w:rFonts w:ascii="Arial" w:cs="Arial" w:eastAsia="Arial" w:hAnsi="Arial"/>
          <w:b/>
          <w:bCs/>
          <w:color w:val="1F3864"/>
          <w:sz w:val="26"/>
          <w:szCs w:val="26"/>
        </w:rPr>
        <w:t xml:space="preserve">Build Spec File</w:t>
      </w:r>
    </w:p>
    <w:p>
      <w:pPr>
        <w:spacing w:after="60" w:before="60"/>
      </w:pPr>
      <w:r>
        <w:rPr>
          <w:rFonts w:ascii="Arial" w:cs="Arial" w:eastAsia="Arial" w:hAnsi="Arial"/>
          <w:sz w:val="22"/>
          <w:szCs w:val="22"/>
        </w:rPr>
        <w:t xml:space="preserve">Full machine-readable spec for Claude Code is saved as VISA_MACHINE_DIAGRAM_SPEC.md. Contains every node definition, every edge definition, all interaction specs, structural notes, and file references. Hand this to Claude Code as first message along with repo access.</w:t>
      </w:r>
    </w:p>
    <w:p>
      <w:pPr>
        <w:spacing w:after="80" w:before="80"/>
      </w:pPr>
    </w:p>
    <w:p>
      <w:pPr>
        <w:pBdr>
          <w:bottom w:val="single" w:color="1F3864" w:sz="6" w:space="1"/>
        </w:pBdr>
        <w:spacing w:after="100" w:before="100"/>
      </w:pPr>
    </w:p>
    <w:p>
      <w:pPr>
        <w:pStyle w:val="Heading1"/>
        <w:spacing w:after="120" w:before="360"/>
      </w:pPr>
      <w:r>
        <w:rPr>
          <w:rFonts w:ascii="Arial" w:cs="Arial" w:eastAsia="Arial" w:hAnsi="Arial"/>
          <w:b/>
          <w:bCs/>
          <w:color w:val="1F3864"/>
          <w:sz w:val="32"/>
          <w:szCs w:val="32"/>
        </w:rPr>
        <w:t xml:space="preserve">SECTION 04 — HOME PAGE</w:t>
      </w:r>
    </w:p>
    <w:p>
      <w:pPr>
        <w:pStyle w:val="Heading2"/>
        <w:spacing w:after="80" w:before="240"/>
      </w:pPr>
      <w:r>
        <w:rPr>
          <w:rFonts w:ascii="Arial" w:cs="Arial" w:eastAsia="Arial" w:hAnsi="Arial"/>
          <w:b/>
          <w:bCs/>
          <w:color w:val="1F3864"/>
          <w:sz w:val="26"/>
          <w:szCs w:val="26"/>
        </w:rPr>
        <w:t xml:space="preserve">Hero</w:t>
      </w:r>
    </w:p>
    <w:p>
      <w:pPr>
        <w:pStyle w:val="ListParagraph"/>
        <w:numPr>
          <w:ilvl w:val="0"/>
          <w:numId w:val="2"/>
        </w:numPr>
        <w:spacing w:after="40" w:before="40"/>
      </w:pPr>
      <w:r>
        <w:rPr>
          <w:rFonts w:ascii="Arial" w:cs="Arial" w:eastAsia="Arial" w:hAnsi="Arial"/>
          <w:color w:val="000000"/>
          <w:sz w:val="21"/>
          <w:szCs w:val="21"/>
        </w:rPr>
        <w:t xml:space="preserve">Title: The H-1B / H-2 Visa Incentive Machine</w:t>
      </w:r>
    </w:p>
    <w:p>
      <w:pPr>
        <w:pStyle w:val="ListParagraph"/>
        <w:numPr>
          <w:ilvl w:val="0"/>
          <w:numId w:val="2"/>
        </w:numPr>
        <w:spacing w:after="40" w:before="40"/>
      </w:pPr>
      <w:r>
        <w:rPr>
          <w:rFonts w:ascii="Arial" w:cs="Arial" w:eastAsia="Arial" w:hAnsi="Arial"/>
          <w:color w:val="000000"/>
          <w:sz w:val="21"/>
          <w:szCs w:val="21"/>
        </w:rPr>
        <w:t xml:space="preserve">Tagline visible, white text</w:t>
      </w:r>
    </w:p>
    <w:p>
      <w:pPr>
        <w:pStyle w:val="ListParagraph"/>
        <w:numPr>
          <w:ilvl w:val="0"/>
          <w:numId w:val="2"/>
        </w:numPr>
        <w:spacing w:after="40" w:before="40"/>
      </w:pPr>
      <w:r>
        <w:rPr>
          <w:rFonts w:ascii="Arial" w:cs="Arial" w:eastAsia="Arial" w:hAnsi="Arial"/>
          <w:color w:val="000000"/>
          <w:sz w:val="21"/>
          <w:szCs w:val="21"/>
        </w:rPr>
        <w:t xml:space="preserve">Core Thesis block — prominent label, full thesis text</w:t>
      </w:r>
    </w:p>
    <w:p>
      <w:pPr>
        <w:pStyle w:val="ListParagraph"/>
        <w:numPr>
          <w:ilvl w:val="0"/>
          <w:numId w:val="2"/>
        </w:numPr>
        <w:spacing w:after="40" w:before="40"/>
      </w:pPr>
      <w:r>
        <w:rPr>
          <w:rFonts w:ascii="Arial" w:cs="Arial" w:eastAsia="Arial" w:hAnsi="Arial"/>
          <w:color w:val="000000"/>
          <w:sz w:val="21"/>
          <w:szCs w:val="21"/>
        </w:rPr>
        <w:t xml:space="preserve">No CTA buttons — chain diagram immediately below on scroll</w:t>
      </w:r>
    </w:p>
    <w:p>
      <w:pPr>
        <w:pStyle w:val="ListParagraph"/>
        <w:numPr>
          <w:ilvl w:val="0"/>
          <w:numId w:val="2"/>
        </w:numPr>
        <w:spacing w:after="40" w:before="40"/>
      </w:pPr>
      <w:r>
        <w:rPr>
          <w:rFonts w:ascii="Arial" w:cs="Arial" w:eastAsia="Arial" w:hAnsi="Arial"/>
          <w:color w:val="000000"/>
          <w:sz w:val="21"/>
          <w:szCs w:val="21"/>
        </w:rPr>
        <w:t xml:space="preserve">Scroll indicator pointing down to chain</w:t>
      </w:r>
    </w:p>
    <w:p>
      <w:pPr>
        <w:spacing w:after="80" w:before="80"/>
      </w:pPr>
    </w:p>
    <w:p>
      <w:pPr>
        <w:pStyle w:val="Heading2"/>
        <w:spacing w:after="80" w:before="240"/>
      </w:pPr>
      <w:r>
        <w:rPr>
          <w:rFonts w:ascii="Arial" w:cs="Arial" w:eastAsia="Arial" w:hAnsi="Arial"/>
          <w:b/>
          <w:bCs/>
          <w:color w:val="1F3864"/>
          <w:sz w:val="26"/>
          <w:szCs w:val="26"/>
        </w:rPr>
        <w:t xml:space="preserve">The Chain Diagram</w:t>
      </w:r>
    </w:p>
    <w:p>
      <w:pPr>
        <w:spacing w:after="60" w:before="60"/>
      </w:pPr>
      <w:r>
        <w:rPr>
          <w:rFonts w:ascii="Arial" w:cs="Arial" w:eastAsia="Arial" w:hAnsi="Arial"/>
          <w:sz w:val="22"/>
          <w:szCs w:val="22"/>
        </w:rPr>
        <w:t xml:space="preserve">The interactive diagram described in Section 03 is the centerpiece of the home page. All nodes are clickable and open modals. Edges highlight on hover.</w:t>
      </w:r>
    </w:p>
    <w:p>
      <w:pPr>
        <w:spacing w:after="80" w:before="80"/>
      </w:pPr>
    </w:p>
    <w:p>
      <w:pPr>
        <w:pStyle w:val="Heading2"/>
        <w:spacing w:after="80" w:before="240"/>
      </w:pPr>
      <w:r>
        <w:rPr>
          <w:rFonts w:ascii="Arial" w:cs="Arial" w:eastAsia="Arial" w:hAnsi="Arial"/>
          <w:b/>
          <w:bCs/>
          <w:color w:val="1F3864"/>
          <w:sz w:val="26"/>
          <w:szCs w:val="26"/>
        </w:rPr>
        <w:t xml:space="preserve">Political Flip Teaser Strip</w:t>
      </w:r>
    </w:p>
    <w:p>
      <w:pPr>
        <w:spacing w:after="60" w:before="60"/>
      </w:pPr>
      <w:r>
        <w:rPr>
          <w:rFonts w:ascii="Arial" w:cs="Arial" w:eastAsia="Arial" w:hAnsi="Arial"/>
          <w:sz w:val="22"/>
          <w:szCs w:val="22"/>
        </w:rPr>
        <w:t xml:space="preserve">Below chain, above footer. Placeholder title, brief framing of party position reversal. Links to Section 08.</w:t>
      </w:r>
    </w:p>
    <w:p>
      <w:pPr>
        <w:pStyle w:val="Heading2"/>
        <w:spacing w:after="80" w:before="240"/>
      </w:pPr>
      <w:r>
        <w:rPr>
          <w:rFonts w:ascii="Arial" w:cs="Arial" w:eastAsia="Arial" w:hAnsi="Arial"/>
          <w:b/>
          <w:bCs/>
          <w:color w:val="1F3864"/>
          <w:sz w:val="26"/>
          <w:szCs w:val="26"/>
        </w:rPr>
        <w:t xml:space="preserve">Home Footer</w:t>
      </w:r>
    </w:p>
    <w:p>
      <w:pPr>
        <w:spacing w:after="60" w:before="60"/>
      </w:pPr>
      <w:r>
        <w:rPr>
          <w:rFonts w:ascii="Arial" w:cs="Arial" w:eastAsia="Arial" w:hAnsi="Arial"/>
          <w:sz w:val="22"/>
          <w:szCs w:val="22"/>
        </w:rPr>
        <w:t xml:space="preserve">Primary sources, 'See My Work' link, 'Created by Ian' credit line, AI disclosure, Google Form feedback link.</w:t>
      </w:r>
    </w:p>
    <w:p>
      <w:pPr>
        <w:spacing w:after="80" w:before="80"/>
      </w:pPr>
    </w:p>
    <w:p>
      <w:pPr>
        <w:pBdr>
          <w:bottom w:val="single" w:color="1F3864" w:sz="6" w:space="1"/>
        </w:pBdr>
        <w:spacing w:after="100" w:before="100"/>
      </w:pPr>
    </w:p>
    <w:p>
      <w:pPr>
        <w:pStyle w:val="Heading1"/>
        <w:spacing w:after="120" w:before="360"/>
      </w:pPr>
      <w:r>
        <w:rPr>
          <w:rFonts w:ascii="Arial" w:cs="Arial" w:eastAsia="Arial" w:hAnsi="Arial"/>
          <w:b/>
          <w:bCs/>
          <w:color w:val="1F3864"/>
          <w:sz w:val="32"/>
          <w:szCs w:val="32"/>
        </w:rPr>
        <w:t xml:space="preserve">SECTION 05 — THE BIG THREE ASSET MANAGERS</w:t>
      </w:r>
    </w:p>
    <w:p>
      <w:pPr>
        <w:shd w:fill="FFF3CD" w:val="clear"/>
        <w:spacing w:after="80" w:before="80"/>
      </w:pPr>
      <w:r>
        <w:rPr>
          <w:rFonts w:ascii="Arial" w:cs="Arial" w:eastAsia="Arial" w:hAnsi="Arial"/>
          <w:b/>
          <w:bCs/>
          <w:color w:val="7F6000"/>
          <w:sz w:val="22"/>
          <w:szCs w:val="22"/>
        </w:rPr>
        <w:t xml:space="preserve">LABEL CHANGE (v10): 'Institutional Asset Managers' → 'The Big Three Asset Managers' everywhere in the tool.</w:t>
      </w:r>
    </w:p>
    <w:p>
      <w:pPr>
        <w:spacing w:after="80" w:before="80"/>
      </w:pPr>
    </w:p>
    <w:p>
      <w:pPr>
        <w:pStyle w:val="Heading2"/>
        <w:spacing w:after="80" w:before="240"/>
      </w:pPr>
      <w:r>
        <w:rPr>
          <w:rFonts w:ascii="Arial" w:cs="Arial" w:eastAsia="Arial" w:hAnsi="Arial"/>
          <w:b/>
          <w:bCs/>
          <w:color w:val="1F3864"/>
          <w:sz w:val="26"/>
          <w:szCs w:val="26"/>
        </w:rPr>
        <w:t xml:space="preserve">Page Title</w:t>
      </w:r>
    </w:p>
    <w:p>
      <w:pPr>
        <w:spacing w:after="60" w:before="60"/>
      </w:pPr>
      <w:r>
        <w:rPr>
          <w:rFonts w:ascii="Arial" w:cs="Arial" w:eastAsia="Arial" w:hAnsi="Arial"/>
          <w:sz w:val="22"/>
          <w:szCs w:val="22"/>
        </w:rPr>
        <w:t xml:space="preserve">What Is an Asset Manager?</w:t>
      </w:r>
    </w:p>
    <w:p>
      <w:pPr>
        <w:pStyle w:val="Heading2"/>
        <w:spacing w:after="80" w:before="240"/>
      </w:pPr>
      <w:r>
        <w:rPr>
          <w:rFonts w:ascii="Arial" w:cs="Arial" w:eastAsia="Arial" w:hAnsi="Arial"/>
          <w:b/>
          <w:bCs/>
          <w:color w:val="1F3864"/>
          <w:sz w:val="26"/>
          <w:szCs w:val="26"/>
        </w:rPr>
        <w:t xml:space="preserve">Foundation Block (always visible)</w:t>
      </w:r>
    </w:p>
    <w:p>
      <w:pPr>
        <w:spacing w:after="60" w:before="60"/>
      </w:pPr>
      <w:r>
        <w:rPr>
          <w:rFonts w:ascii="Arial" w:cs="Arial" w:eastAsia="Arial" w:hAnsi="Arial"/>
          <w:sz w:val="22"/>
          <w:szCs w:val="22"/>
        </w:rPr>
        <w:t xml:space="preserve">BlackRock, Vanguard, and State Street manage retirement accounts for more than half of all U.S. households — 128 million individual investors. When you signed up for your 401(k), buried in the terms and conditions nobody reads, you handed them something far more valuable than your money: your vote. Every share of stock in your retirement account comes with a vote in how that company is run. You gave those votes away without knowing it. Together, the Big Three control roughly three-quarters of the U.S. equity ETF market and cast votes at corporate elections in nearly every major American company — using your money, without asking you.</w:t>
      </w:r>
    </w:p>
    <w:p>
      <w:pPr>
        <w:spacing w:after="80" w:before="80"/>
      </w:pPr>
    </w:p>
    <w:p>
      <w:pPr>
        <w:pStyle w:val="Heading2"/>
        <w:spacing w:after="80" w:before="240"/>
      </w:pPr>
      <w:r>
        <w:rPr>
          <w:rFonts w:ascii="Arial" w:cs="Arial" w:eastAsia="Arial" w:hAnsi="Arial"/>
          <w:b/>
          <w:bCs/>
          <w:color w:val="1F3864"/>
          <w:sz w:val="26"/>
          <w:szCs w:val="26"/>
        </w:rPr>
        <w:t xml:space="preserve">Key Verified Figures</w:t>
      </w:r>
    </w:p>
    <w:p>
      <w:pPr>
        <w:pStyle w:val="ListParagraph"/>
        <w:numPr>
          <w:ilvl w:val="0"/>
          <w:numId w:val="2"/>
        </w:numPr>
        <w:spacing w:after="40" w:before="40"/>
      </w:pPr>
      <w:r>
        <w:rPr>
          <w:rFonts w:ascii="Arial" w:cs="Arial" w:eastAsia="Arial" w:hAnsi="Arial"/>
          <w:color w:val="000000"/>
          <w:sz w:val="21"/>
          <w:szCs w:val="21"/>
        </w:rPr>
        <w:t xml:space="preserve">BlackRock AUM Q1 2026: $13.89 trillion (record high)</w:t>
      </w:r>
    </w:p>
    <w:p>
      <w:pPr>
        <w:pStyle w:val="ListParagraph"/>
        <w:numPr>
          <w:ilvl w:val="0"/>
          <w:numId w:val="2"/>
        </w:numPr>
        <w:spacing w:after="40" w:before="40"/>
      </w:pPr>
      <w:r>
        <w:rPr>
          <w:rFonts w:ascii="Arial" w:cs="Arial" w:eastAsia="Arial" w:hAnsi="Arial"/>
          <w:color w:val="000000"/>
          <w:sz w:val="21"/>
          <w:szCs w:val="21"/>
        </w:rPr>
        <w:t xml:space="preserve">128 million U.S. household investors (56.4% of all households)</w:t>
      </w:r>
    </w:p>
    <w:p>
      <w:pPr>
        <w:pStyle w:val="ListParagraph"/>
        <w:numPr>
          <w:ilvl w:val="0"/>
          <w:numId w:val="2"/>
        </w:numPr>
        <w:spacing w:after="40" w:before="40"/>
      </w:pPr>
      <w:r>
        <w:rPr>
          <w:rFonts w:ascii="Arial" w:cs="Arial" w:eastAsia="Arial" w:hAnsi="Arial"/>
          <w:color w:val="000000"/>
          <w:sz w:val="21"/>
          <w:szCs w:val="21"/>
        </w:rPr>
        <w:t xml:space="preserve">~74% of U.S. equity ETF market (Big Three combined)</w:t>
      </w:r>
    </w:p>
    <w:p>
      <w:pPr>
        <w:pStyle w:val="ListParagraph"/>
        <w:numPr>
          <w:ilvl w:val="0"/>
          <w:numId w:val="2"/>
        </w:numPr>
        <w:spacing w:after="40" w:before="40"/>
      </w:pPr>
      <w:r>
        <w:rPr>
          <w:rFonts w:ascii="Arial" w:cs="Arial" w:eastAsia="Arial" w:hAnsi="Arial"/>
          <w:color w:val="000000"/>
          <w:sz w:val="21"/>
          <w:szCs w:val="21"/>
        </w:rPr>
        <w:t xml:space="preserve">Largest shareholder in ~88% of S&amp;P 500 companies</w:t>
      </w:r>
    </w:p>
    <w:p>
      <w:pPr>
        <w:pStyle w:val="ListParagraph"/>
        <w:numPr>
          <w:ilvl w:val="0"/>
          <w:numId w:val="2"/>
        </w:numPr>
        <w:spacing w:after="40" w:before="40"/>
      </w:pPr>
      <w:r>
        <w:rPr>
          <w:rFonts w:ascii="Arial" w:cs="Arial" w:eastAsia="Arial" w:hAnsi="Arial"/>
          <w:color w:val="000000"/>
          <w:sz w:val="21"/>
          <w:szCs w:val="21"/>
        </w:rPr>
        <w:t xml:space="preserve">20–25% median voting power at any shareholder meeting</w:t>
      </w:r>
    </w:p>
    <w:p>
      <w:pPr>
        <w:pStyle w:val="ListParagraph"/>
        <w:numPr>
          <w:ilvl w:val="0"/>
          <w:numId w:val="2"/>
        </w:numPr>
        <w:spacing w:after="40" w:before="40"/>
      </w:pPr>
      <w:r>
        <w:rPr>
          <w:rFonts w:ascii="Arial" w:cs="Arial" w:eastAsia="Arial" w:hAnsi="Arial"/>
          <w:color w:val="000000"/>
          <w:sz w:val="21"/>
          <w:szCs w:val="21"/>
        </w:rPr>
        <w:t xml:space="preserve">98.7% management proposal support rate, 2025 proxy season</w:t>
      </w:r>
    </w:p>
    <w:p>
      <w:pPr>
        <w:pStyle w:val="ListParagraph"/>
        <w:numPr>
          <w:ilvl w:val="0"/>
          <w:numId w:val="2"/>
        </w:numPr>
        <w:spacing w:after="40" w:before="40"/>
      </w:pPr>
      <w:r>
        <w:rPr>
          <w:rFonts w:ascii="Arial" w:cs="Arial" w:eastAsia="Arial" w:hAnsi="Arial"/>
          <w:color w:val="000000"/>
          <w:sz w:val="21"/>
          <w:szCs w:val="21"/>
        </w:rPr>
        <w:t xml:space="preserve">ERISA §403(a)(2): proxy voting is the fiduciary duty of the manager, not the participant</w:t>
      </w:r>
    </w:p>
    <w:p>
      <w:pPr>
        <w:pStyle w:val="ListParagraph"/>
        <w:numPr>
          <w:ilvl w:val="0"/>
          <w:numId w:val="2"/>
        </w:numPr>
        <w:spacing w:after="40" w:before="40"/>
      </w:pPr>
      <w:r>
        <w:rPr>
          <w:rFonts w:ascii="Arial" w:cs="Arial" w:eastAsia="Arial" w:hAnsi="Arial"/>
          <w:color w:val="000000"/>
          <w:sz w:val="21"/>
          <w:szCs w:val="21"/>
        </w:rPr>
        <w:t xml:space="preserve">BlackRock federal lobbying 2025: $3.4M — almost none on immigration</w:t>
      </w:r>
    </w:p>
    <w:p>
      <w:pPr>
        <w:pStyle w:val="ListParagraph"/>
        <w:numPr>
          <w:ilvl w:val="0"/>
          <w:numId w:val="2"/>
        </w:numPr>
        <w:spacing w:after="40" w:before="40"/>
      </w:pPr>
      <w:r>
        <w:rPr>
          <w:rFonts w:ascii="Arial" w:cs="Arial" w:eastAsia="Arial" w:hAnsi="Arial"/>
          <w:color w:val="000000"/>
          <w:sz w:val="21"/>
          <w:szCs w:val="21"/>
        </w:rPr>
        <w:t xml:space="preserve">Vanguard federal lobbying 2025: $2.58M — almost none on immigration</w:t>
      </w:r>
    </w:p>
    <w:p>
      <w:pPr>
        <w:spacing w:after="80" w:before="80"/>
      </w:pPr>
    </w:p>
    <w:p>
      <w:pPr>
        <w:pStyle w:val="Heading2"/>
        <w:spacing w:after="80" w:before="240"/>
      </w:pPr>
      <w:r>
        <w:rPr>
          <w:rFonts w:ascii="Arial" w:cs="Arial" w:eastAsia="Arial" w:hAnsi="Arial"/>
          <w:b/>
          <w:bCs/>
          <w:color w:val="1F3864"/>
          <w:sz w:val="26"/>
          <w:szCs w:val="26"/>
        </w:rPr>
        <w:t xml:space="preserve">Cross-Ownership (Why They Always Vote the Same Way)</w:t>
      </w:r>
    </w:p>
    <w:p>
      <w:pPr>
        <w:pStyle w:val="ListParagraph"/>
        <w:numPr>
          <w:ilvl w:val="0"/>
          <w:numId w:val="2"/>
        </w:numPr>
        <w:spacing w:after="40" w:before="40"/>
      </w:pPr>
      <w:r>
        <w:rPr>
          <w:rFonts w:ascii="Arial" w:cs="Arial" w:eastAsia="Arial" w:hAnsi="Arial"/>
          <w:color w:val="000000"/>
          <w:sz w:val="21"/>
          <w:szCs w:val="21"/>
        </w:rPr>
        <w:t xml:space="preserve">Vanguard: ~9% stake in BlackRock (~$15B) — BlackRock's largest shareholder</w:t>
      </w:r>
    </w:p>
    <w:p>
      <w:pPr>
        <w:pStyle w:val="ListParagraph"/>
        <w:numPr>
          <w:ilvl w:val="0"/>
          <w:numId w:val="2"/>
        </w:numPr>
        <w:spacing w:after="40" w:before="40"/>
      </w:pPr>
      <w:r>
        <w:rPr>
          <w:rFonts w:ascii="Arial" w:cs="Arial" w:eastAsia="Arial" w:hAnsi="Arial"/>
          <w:color w:val="000000"/>
          <w:sz w:val="21"/>
          <w:szCs w:val="21"/>
        </w:rPr>
        <w:t xml:space="preserve">BlackRock: ~6.5% self-ownership through funds</w:t>
      </w:r>
    </w:p>
    <w:p>
      <w:pPr>
        <w:pStyle w:val="ListParagraph"/>
        <w:numPr>
          <w:ilvl w:val="0"/>
          <w:numId w:val="2"/>
        </w:numPr>
        <w:spacing w:after="40" w:before="40"/>
      </w:pPr>
      <w:r>
        <w:rPr>
          <w:rFonts w:ascii="Arial" w:cs="Arial" w:eastAsia="Arial" w:hAnsi="Arial"/>
          <w:color w:val="000000"/>
          <w:sz w:val="21"/>
          <w:szCs w:val="21"/>
        </w:rPr>
        <w:t xml:space="preserve">State Street: ~4% stake in BlackRock</w:t>
      </w:r>
    </w:p>
    <w:p>
      <w:pPr>
        <w:pStyle w:val="ListParagraph"/>
        <w:numPr>
          <w:ilvl w:val="0"/>
          <w:numId w:val="2"/>
        </w:numPr>
        <w:spacing w:after="40" w:before="40"/>
      </w:pPr>
      <w:r>
        <w:rPr>
          <w:rFonts w:ascii="Arial" w:cs="Arial" w:eastAsia="Arial" w:hAnsi="Arial"/>
          <w:color w:val="000000"/>
          <w:sz w:val="21"/>
          <w:szCs w:val="21"/>
        </w:rPr>
        <w:t xml:space="preserve">BlackRock: ~8% stake in State Street</w:t>
      </w:r>
    </w:p>
    <w:p>
      <w:pPr>
        <w:spacing w:after="80" w:before="80"/>
      </w:pPr>
    </w:p>
    <w:p>
      <w:pPr>
        <w:pBdr>
          <w:bottom w:val="single" w:color="1F3864" w:sz="6" w:space="1"/>
        </w:pBdr>
        <w:spacing w:after="100" w:before="100"/>
      </w:pPr>
    </w:p>
    <w:p>
      <w:pPr>
        <w:pStyle w:val="Heading1"/>
        <w:spacing w:after="120" w:before="360"/>
      </w:pPr>
      <w:r>
        <w:rPr>
          <w:rFonts w:ascii="Arial" w:cs="Arial" w:eastAsia="Arial" w:hAnsi="Arial"/>
          <w:b/>
          <w:bCs/>
          <w:color w:val="1F3864"/>
          <w:sz w:val="32"/>
          <w:szCs w:val="32"/>
        </w:rPr>
        <w:t xml:space="preserve">SECTION 06 — THE H-1B VISA</w:t>
      </w:r>
    </w:p>
    <w:p>
      <w:pPr>
        <w:pStyle w:val="Heading2"/>
        <w:spacing w:after="80" w:before="240"/>
      </w:pPr>
      <w:r>
        <w:rPr>
          <w:rFonts w:ascii="Arial" w:cs="Arial" w:eastAsia="Arial" w:hAnsi="Arial"/>
          <w:b/>
          <w:bCs/>
          <w:color w:val="1F3864"/>
          <w:sz w:val="26"/>
          <w:szCs w:val="26"/>
        </w:rPr>
        <w:t xml:space="preserve">Program Scale — Verified</w:t>
      </w:r>
    </w:p>
    <w:p>
      <w:pPr>
        <w:pStyle w:val="ListParagraph"/>
        <w:numPr>
          <w:ilvl w:val="0"/>
          <w:numId w:val="2"/>
        </w:numPr>
        <w:spacing w:after="40" w:before="40"/>
      </w:pPr>
      <w:r>
        <w:rPr>
          <w:rFonts w:ascii="Arial" w:cs="Arial" w:eastAsia="Arial" w:hAnsi="Arial"/>
          <w:color w:val="000000"/>
          <w:sz w:val="21"/>
          <w:szCs w:val="21"/>
        </w:rPr>
        <w:t xml:space="preserve">~730,000 H-1B workers currently active in the U.S. (early 2026)</w:t>
      </w:r>
    </w:p>
    <w:p>
      <w:pPr>
        <w:pStyle w:val="ListParagraph"/>
        <w:numPr>
          <w:ilvl w:val="0"/>
          <w:numId w:val="2"/>
        </w:numPr>
        <w:spacing w:after="40" w:before="40"/>
      </w:pPr>
      <w:r>
        <w:rPr>
          <w:rFonts w:ascii="Arial" w:cs="Arial" w:eastAsia="Arial" w:hAnsi="Arial"/>
          <w:color w:val="000000"/>
          <w:sz w:val="21"/>
          <w:szCs w:val="21"/>
        </w:rPr>
        <w:t xml:space="preserve">FY2025: ~456,725 petitions filed; ~328,185 approved</w:t>
      </w:r>
    </w:p>
    <w:p>
      <w:pPr>
        <w:pStyle w:val="ListParagraph"/>
        <w:numPr>
          <w:ilvl w:val="0"/>
          <w:numId w:val="2"/>
        </w:numPr>
        <w:spacing w:after="40" w:before="40"/>
      </w:pPr>
      <w:r>
        <w:rPr>
          <w:rFonts w:ascii="Arial" w:cs="Arial" w:eastAsia="Arial" w:hAnsi="Arial"/>
          <w:color w:val="000000"/>
          <w:sz w:val="21"/>
          <w:szCs w:val="21"/>
        </w:rPr>
        <w:t xml:space="preserve">Annual cap: 65,000 regular + 20,000 advanced-degree (cap-exempt employers uncapped)</w:t>
      </w:r>
    </w:p>
    <w:p>
      <w:pPr>
        <w:pStyle w:val="ListParagraph"/>
        <w:numPr>
          <w:ilvl w:val="0"/>
          <w:numId w:val="2"/>
        </w:numPr>
        <w:spacing w:after="40" w:before="40"/>
      </w:pPr>
      <w:r>
        <w:rPr>
          <w:rFonts w:ascii="Arial" w:cs="Arial" w:eastAsia="Arial" w:hAnsi="Arial"/>
          <w:color w:val="000000"/>
          <w:sz w:val="21"/>
          <w:szCs w:val="21"/>
        </w:rPr>
        <w:t xml:space="preserve">Cap exhausted every year since FY2004 — 22 consecutive years</w:t>
      </w:r>
    </w:p>
    <w:p>
      <w:pPr>
        <w:pStyle w:val="ListParagraph"/>
        <w:numPr>
          <w:ilvl w:val="0"/>
          <w:numId w:val="2"/>
        </w:numPr>
        <w:spacing w:after="40" w:before="40"/>
      </w:pPr>
      <w:r>
        <w:rPr>
          <w:rFonts w:ascii="Arial" w:cs="Arial" w:eastAsia="Arial" w:hAnsi="Arial"/>
          <w:color w:val="000000"/>
          <w:sz w:val="21"/>
          <w:szCs w:val="21"/>
        </w:rPr>
        <w:t xml:space="preserve">India: ~71–73% of approvals | China: ~11–12% | All others under 2% each</w:t>
      </w:r>
    </w:p>
    <w:p>
      <w:pPr>
        <w:pStyle w:val="ListParagraph"/>
        <w:numPr>
          <w:ilvl w:val="0"/>
          <w:numId w:val="2"/>
        </w:numPr>
        <w:spacing w:after="40" w:before="40"/>
      </w:pPr>
      <w:r>
        <w:rPr>
          <w:rFonts w:ascii="Arial" w:cs="Arial" w:eastAsia="Arial" w:hAnsi="Arial"/>
          <w:color w:val="000000"/>
          <w:sz w:val="21"/>
          <w:szCs w:val="21"/>
        </w:rPr>
        <w:t xml:space="preserve">DOL approves ~99% of LCAs — self-attested, minimal audit</w:t>
      </w:r>
    </w:p>
    <w:p>
      <w:pPr>
        <w:pStyle w:val="ListParagraph"/>
        <w:numPr>
          <w:ilvl w:val="0"/>
          <w:numId w:val="2"/>
        </w:numPr>
        <w:spacing w:after="40" w:before="40"/>
      </w:pPr>
      <w:r>
        <w:rPr>
          <w:rFonts w:ascii="Arial" w:cs="Arial" w:eastAsia="Arial" w:hAnsi="Arial"/>
          <w:color w:val="000000"/>
          <w:sz w:val="21"/>
          <w:szCs w:val="21"/>
        </w:rPr>
        <w:t xml:space="preserve">Current denial rate: 2.8% (FY2025) — was 24% at peak Trump restrictions FY2018</w:t>
      </w:r>
    </w:p>
    <w:p>
      <w:pPr>
        <w:spacing w:after="80" w:before="80"/>
      </w:pPr>
    </w:p>
    <w:p>
      <w:pPr>
        <w:pStyle w:val="Heading2"/>
        <w:spacing w:after="80" w:before="240"/>
      </w:pPr>
      <w:r>
        <w:rPr>
          <w:rFonts w:ascii="Arial" w:cs="Arial" w:eastAsia="Arial" w:hAnsi="Arial"/>
          <w:b/>
          <w:bCs/>
          <w:color w:val="1F3864"/>
          <w:sz w:val="26"/>
          <w:szCs w:val="26"/>
        </w:rPr>
        <w:t xml:space="preserve">FY2025 Top 5 H-1B Sponsors (Initial Employment)</w:t>
      </w:r>
    </w:p>
    <w:p>
      <w:pPr>
        <w:pStyle w:val="ListParagraph"/>
        <w:numPr>
          <w:ilvl w:val="0"/>
          <w:numId w:val="2"/>
        </w:numPr>
        <w:spacing w:after="40" w:before="40"/>
      </w:pPr>
      <w:r>
        <w:rPr>
          <w:rFonts w:ascii="Arial" w:cs="Arial" w:eastAsia="Arial" w:hAnsi="Arial"/>
          <w:color w:val="000000"/>
          <w:sz w:val="21"/>
          <w:szCs w:val="21"/>
        </w:rPr>
        <w:t xml:space="preserve">1. Amazon — 4,644 (total active ~19,176 including continuing)</w:t>
      </w:r>
    </w:p>
    <w:p>
      <w:pPr>
        <w:pStyle w:val="ListParagraph"/>
        <w:numPr>
          <w:ilvl w:val="0"/>
          <w:numId w:val="2"/>
        </w:numPr>
        <w:spacing w:after="40" w:before="40"/>
      </w:pPr>
      <w:r>
        <w:rPr>
          <w:rFonts w:ascii="Arial" w:cs="Arial" w:eastAsia="Arial" w:hAnsi="Arial"/>
          <w:color w:val="000000"/>
          <w:sz w:val="21"/>
          <w:szCs w:val="21"/>
        </w:rPr>
        <w:t xml:space="preserve">2. Meta Platforms — 1,555</w:t>
      </w:r>
    </w:p>
    <w:p>
      <w:pPr>
        <w:pStyle w:val="ListParagraph"/>
        <w:numPr>
          <w:ilvl w:val="0"/>
          <w:numId w:val="2"/>
        </w:numPr>
        <w:spacing w:after="40" w:before="40"/>
      </w:pPr>
      <w:r>
        <w:rPr>
          <w:rFonts w:ascii="Arial" w:cs="Arial" w:eastAsia="Arial" w:hAnsi="Arial"/>
          <w:color w:val="000000"/>
          <w:sz w:val="21"/>
          <w:szCs w:val="21"/>
        </w:rPr>
        <w:t xml:space="preserve">3. Microsoft — 1,394</w:t>
      </w:r>
    </w:p>
    <w:p>
      <w:pPr>
        <w:pStyle w:val="ListParagraph"/>
        <w:numPr>
          <w:ilvl w:val="0"/>
          <w:numId w:val="2"/>
        </w:numPr>
        <w:spacing w:after="40" w:before="40"/>
      </w:pPr>
      <w:r>
        <w:rPr>
          <w:rFonts w:ascii="Arial" w:cs="Arial" w:eastAsia="Arial" w:hAnsi="Arial"/>
          <w:color w:val="000000"/>
          <w:sz w:val="21"/>
          <w:szCs w:val="21"/>
        </w:rPr>
        <w:t xml:space="preserve">4. Google (Alphabet) — 1,050</w:t>
      </w:r>
    </w:p>
    <w:p>
      <w:pPr>
        <w:pStyle w:val="ListParagraph"/>
        <w:numPr>
          <w:ilvl w:val="0"/>
          <w:numId w:val="2"/>
        </w:numPr>
        <w:spacing w:after="40" w:before="40"/>
      </w:pPr>
      <w:r>
        <w:rPr>
          <w:rFonts w:ascii="Arial" w:cs="Arial" w:eastAsia="Arial" w:hAnsi="Arial"/>
          <w:color w:val="000000"/>
          <w:sz w:val="21"/>
          <w:szCs w:val="21"/>
        </w:rPr>
        <w:t xml:space="preserve">5. Tata Consultancy Services — 846</w:t>
      </w:r>
    </w:p>
    <w:p>
      <w:pPr>
        <w:spacing w:after="80" w:before="80"/>
      </w:pPr>
    </w:p>
    <w:p>
      <w:pPr>
        <w:pStyle w:val="Heading2"/>
        <w:spacing w:after="80" w:before="240"/>
      </w:pPr>
      <w:r>
        <w:rPr>
          <w:rFonts w:ascii="Arial" w:cs="Arial" w:eastAsia="Arial" w:hAnsi="Arial"/>
          <w:b/>
          <w:bCs/>
          <w:color w:val="1F3864"/>
          <w:sz w:val="26"/>
          <w:szCs w:val="26"/>
        </w:rPr>
        <w:t xml:space="preserve">Wage &amp; Compensation Reality</w:t>
      </w:r>
    </w:p>
    <w:p>
      <w:pPr>
        <w:pStyle w:val="ListParagraph"/>
        <w:numPr>
          <w:ilvl w:val="0"/>
          <w:numId w:val="2"/>
        </w:numPr>
        <w:spacing w:after="40" w:before="40"/>
      </w:pPr>
      <w:r>
        <w:rPr>
          <w:rFonts w:ascii="Arial" w:cs="Arial" w:eastAsia="Arial" w:hAnsi="Arial"/>
          <w:color w:val="000000"/>
          <w:sz w:val="21"/>
          <w:szCs w:val="21"/>
        </w:rPr>
        <w:t xml:space="preserve">H-1B workers earn 16% less than comparable U.S. workers after controls (NBER 2026)</w:t>
      </w:r>
    </w:p>
    <w:p>
      <w:pPr>
        <w:pStyle w:val="ListParagraph"/>
        <w:numPr>
          <w:ilvl w:val="0"/>
          <w:numId w:val="2"/>
        </w:numPr>
        <w:spacing w:after="40" w:before="40"/>
      </w:pPr>
      <w:r>
        <w:rPr>
          <w:rFonts w:ascii="Arial" w:cs="Arial" w:eastAsia="Arial" w:hAnsi="Arial"/>
          <w:color w:val="000000"/>
          <w:sz w:val="21"/>
          <w:szCs w:val="21"/>
        </w:rPr>
        <w:t xml:space="preserve">At outsourcing firms, wage gap reaches up to 35%</w:t>
      </w:r>
    </w:p>
    <w:p>
      <w:pPr>
        <w:pStyle w:val="ListParagraph"/>
        <w:numPr>
          <w:ilvl w:val="0"/>
          <w:numId w:val="2"/>
        </w:numPr>
        <w:spacing w:after="40" w:before="40"/>
      </w:pPr>
      <w:r>
        <w:rPr>
          <w:rFonts w:ascii="Arial" w:cs="Arial" w:eastAsia="Arial" w:hAnsi="Arial"/>
          <w:color w:val="000000"/>
          <w:sz w:val="21"/>
          <w:szCs w:val="21"/>
        </w:rPr>
        <w:t xml:space="preserve">Average offered H-1B wages ~$10,191 below OEWS mean for similar occupations</w:t>
      </w:r>
    </w:p>
    <w:p>
      <w:pPr>
        <w:pStyle w:val="ListParagraph"/>
        <w:numPr>
          <w:ilvl w:val="0"/>
          <w:numId w:val="2"/>
        </w:numPr>
        <w:spacing w:after="40" w:before="40"/>
      </w:pPr>
      <w:r>
        <w:rPr>
          <w:rFonts w:ascii="Arial" w:cs="Arial" w:eastAsia="Arial" w:hAnsi="Arial"/>
          <w:color w:val="000000"/>
          <w:sz w:val="21"/>
          <w:szCs w:val="21"/>
        </w:rPr>
        <w:t xml:space="preserve">EPI documents HCL wage theft: $95M in underpayment</w:t>
      </w:r>
    </w:p>
    <w:p>
      <w:pPr>
        <w:pStyle w:val="ListParagraph"/>
        <w:numPr>
          <w:ilvl w:val="0"/>
          <w:numId w:val="2"/>
        </w:numPr>
        <w:spacing w:after="40" w:before="40"/>
      </w:pPr>
      <w:r>
        <w:rPr>
          <w:rFonts w:ascii="Arial" w:cs="Arial" w:eastAsia="Arial" w:hAnsi="Arial"/>
          <w:color w:val="000000"/>
          <w:sz w:val="21"/>
          <w:szCs w:val="21"/>
        </w:rPr>
        <w:t xml:space="preserve">Bench time: non-billable periods = reduced/no pay while still tied to sponsor</w:t>
      </w:r>
    </w:p>
    <w:p>
      <w:pPr>
        <w:pStyle w:val="ListParagraph"/>
        <w:numPr>
          <w:ilvl w:val="0"/>
          <w:numId w:val="2"/>
        </w:numPr>
        <w:spacing w:after="40" w:before="40"/>
      </w:pPr>
      <w:r>
        <w:rPr>
          <w:rFonts w:ascii="Arial" w:cs="Arial" w:eastAsia="Arial" w:hAnsi="Arial"/>
          <w:color w:val="000000"/>
          <w:sz w:val="21"/>
          <w:szCs w:val="21"/>
        </w:rPr>
        <w:t xml:space="preserve">Illegal recruiter fees: hundreds to thousands upfront (prohibited but common)</w:t>
      </w:r>
    </w:p>
    <w:p>
      <w:pPr>
        <w:spacing w:after="80" w:before="80"/>
      </w:pPr>
    </w:p>
    <w:p>
      <w:pPr>
        <w:pStyle w:val="Heading2"/>
        <w:spacing w:after="80" w:before="240"/>
      </w:pPr>
      <w:r>
        <w:rPr>
          <w:rFonts w:ascii="Arial" w:cs="Arial" w:eastAsia="Arial" w:hAnsi="Arial"/>
          <w:b/>
          <w:bCs/>
          <w:color w:val="1F3864"/>
          <w:sz w:val="26"/>
          <w:szCs w:val="26"/>
        </w:rPr>
        <w:t xml:space="preserve">H-1B vs. Layoffs — Same Companies, Same Years</w:t>
      </w:r>
    </w:p>
    <w:p>
      <w:pPr>
        <w:pStyle w:val="ListParagraph"/>
        <w:numPr>
          <w:ilvl w:val="0"/>
          <w:numId w:val="2"/>
        </w:numPr>
        <w:spacing w:after="40" w:before="40"/>
      </w:pPr>
      <w:r>
        <w:rPr>
          <w:rFonts w:ascii="Arial" w:cs="Arial" w:eastAsia="Arial" w:hAnsi="Arial"/>
          <w:color w:val="000000"/>
          <w:sz w:val="21"/>
          <w:szCs w:val="21"/>
        </w:rPr>
        <w:t xml:space="preserve">Amazon: 4,644 new H-1B FY2025 + ~30,000 layoffs same period (14k Oct 2025 + 16k Jan 2026)</w:t>
      </w:r>
    </w:p>
    <w:p>
      <w:pPr>
        <w:pStyle w:val="ListParagraph"/>
        <w:numPr>
          <w:ilvl w:val="0"/>
          <w:numId w:val="2"/>
        </w:numPr>
        <w:spacing w:after="40" w:before="40"/>
      </w:pPr>
      <w:r>
        <w:rPr>
          <w:rFonts w:ascii="Arial" w:cs="Arial" w:eastAsia="Arial" w:hAnsi="Arial"/>
          <w:color w:val="000000"/>
          <w:sz w:val="21"/>
          <w:szCs w:val="21"/>
        </w:rPr>
        <w:t xml:space="preserve">Meta: 1,555 new H-1B (+112% vs FY2023) + ~21,000 layoffs 2022–2023 + 8,000 planned May 2026</w:t>
      </w:r>
    </w:p>
    <w:p>
      <w:pPr>
        <w:pStyle w:val="ListParagraph"/>
        <w:numPr>
          <w:ilvl w:val="0"/>
          <w:numId w:val="2"/>
        </w:numPr>
        <w:spacing w:after="40" w:before="40"/>
      </w:pPr>
      <w:r>
        <w:rPr>
          <w:rFonts w:ascii="Arial" w:cs="Arial" w:eastAsia="Arial" w:hAnsi="Arial"/>
          <w:color w:val="000000"/>
          <w:sz w:val="21"/>
          <w:szCs w:val="21"/>
        </w:rPr>
        <w:t xml:space="preserve">Microsoft: 1,394 new H-1B + ~15,000 layoffs (6k May + 9k July 2025)</w:t>
      </w:r>
    </w:p>
    <w:p>
      <w:pPr>
        <w:spacing w:after="80" w:before="80"/>
      </w:pPr>
    </w:p>
    <w:p>
      <w:pPr>
        <w:pStyle w:val="Heading2"/>
        <w:spacing w:after="80" w:before="240"/>
      </w:pPr>
      <w:r>
        <w:rPr>
          <w:rFonts w:ascii="Arial" w:cs="Arial" w:eastAsia="Arial" w:hAnsi="Arial"/>
          <w:b/>
          <w:bCs/>
          <w:color w:val="1F3864"/>
          <w:sz w:val="26"/>
          <w:szCs w:val="26"/>
        </w:rPr>
        <w:t xml:space="preserve">Regulatory Environment 2025–2026</w:t>
      </w:r>
    </w:p>
    <w:p>
      <w:pPr>
        <w:pStyle w:val="ListParagraph"/>
        <w:numPr>
          <w:ilvl w:val="0"/>
          <w:numId w:val="2"/>
        </w:numPr>
        <w:spacing w:after="40" w:before="40"/>
      </w:pPr>
      <w:r>
        <w:rPr>
          <w:rFonts w:ascii="Arial" w:cs="Arial" w:eastAsia="Arial" w:hAnsi="Arial"/>
          <w:color w:val="000000"/>
          <w:sz w:val="21"/>
          <w:szCs w:val="21"/>
        </w:rPr>
        <w:t xml:space="preserve">Sep 2025 Proclamation: $100,000 fee on certain new H-1B petitions</w:t>
      </w:r>
    </w:p>
    <w:p>
      <w:pPr>
        <w:pStyle w:val="ListParagraph"/>
        <w:numPr>
          <w:ilvl w:val="0"/>
          <w:numId w:val="2"/>
        </w:numPr>
        <w:spacing w:after="40" w:before="40"/>
      </w:pPr>
      <w:r>
        <w:rPr>
          <w:rFonts w:ascii="Arial" w:cs="Arial" w:eastAsia="Arial" w:hAnsi="Arial"/>
          <w:color w:val="000000"/>
          <w:sz w:val="21"/>
          <w:szCs w:val="21"/>
        </w:rPr>
        <w:t xml:space="preserve">Dec 2025 DHS Final Rule: wage-based weighted lottery (replaces random, effective FY2027)</w:t>
      </w:r>
    </w:p>
    <w:p>
      <w:pPr>
        <w:pStyle w:val="ListParagraph"/>
        <w:numPr>
          <w:ilvl w:val="0"/>
          <w:numId w:val="2"/>
        </w:numPr>
        <w:spacing w:after="40" w:before="40"/>
      </w:pPr>
      <w:r>
        <w:rPr>
          <w:rFonts w:ascii="Arial" w:cs="Arial" w:eastAsia="Arial" w:hAnsi="Arial"/>
          <w:color w:val="000000"/>
          <w:sz w:val="21"/>
          <w:szCs w:val="21"/>
        </w:rPr>
        <w:t xml:space="preserve">March 2026 DOL NPRM: proposed wage rule to raise LCA levels to higher OEWS percentiles</w:t>
      </w:r>
    </w:p>
    <w:p>
      <w:pPr>
        <w:pStyle w:val="ListParagraph"/>
        <w:numPr>
          <w:ilvl w:val="0"/>
          <w:numId w:val="2"/>
        </w:numPr>
        <w:spacing w:after="40" w:before="40"/>
      </w:pPr>
      <w:r>
        <w:rPr>
          <w:rFonts w:ascii="Arial" w:cs="Arial" w:eastAsia="Arial" w:hAnsi="Arial"/>
          <w:color w:val="000000"/>
          <w:sz w:val="21"/>
          <w:szCs w:val="21"/>
        </w:rPr>
        <w:t xml:space="preserve">Project Firewall (Sep 2025): 48% increase in DOL H-1B investigations; &gt;175 probes</w:t>
      </w:r>
    </w:p>
    <w:p>
      <w:pPr>
        <w:pStyle w:val="ListParagraph"/>
        <w:numPr>
          <w:ilvl w:val="0"/>
          <w:numId w:val="2"/>
        </w:numPr>
        <w:spacing w:after="40" w:before="40"/>
      </w:pPr>
      <w:r>
        <w:rPr>
          <w:rFonts w:ascii="Arial" w:cs="Arial" w:eastAsia="Arial" w:hAnsi="Arial"/>
          <w:color w:val="000000"/>
          <w:sz w:val="21"/>
          <w:szCs w:val="21"/>
        </w:rPr>
        <w:t xml:space="preserve">DOJ Compunnel settlement (April 2026): ads explicitly excluded U.S. citizens</w:t>
      </w:r>
    </w:p>
    <w:p>
      <w:pPr>
        <w:spacing w:after="80" w:before="80"/>
      </w:pPr>
    </w:p>
    <w:p>
      <w:pPr>
        <w:pBdr>
          <w:bottom w:val="single" w:color="1F3864" w:sz="6" w:space="1"/>
        </w:pBdr>
        <w:spacing w:after="100" w:before="100"/>
      </w:pPr>
    </w:p>
    <w:p>
      <w:pPr>
        <w:pStyle w:val="Heading1"/>
        <w:spacing w:after="120" w:before="360"/>
      </w:pPr>
      <w:r>
        <w:rPr>
          <w:rFonts w:ascii="Arial" w:cs="Arial" w:eastAsia="Arial" w:hAnsi="Arial"/>
          <w:b/>
          <w:bCs/>
          <w:color w:val="1F3864"/>
          <w:sz w:val="32"/>
          <w:szCs w:val="32"/>
        </w:rPr>
        <w:t xml:space="preserve">SECTION 07 — THE H-2 VISA</w:t>
      </w:r>
    </w:p>
    <w:p>
      <w:pPr>
        <w:shd w:fill="FFF3CD" w:val="clear"/>
        <w:spacing w:after="80" w:before="80"/>
      </w:pPr>
      <w:r>
        <w:rPr>
          <w:rFonts w:ascii="Arial" w:cs="Arial" w:eastAsia="Arial" w:hAnsi="Arial"/>
          <w:b/>
          <w:bCs/>
          <w:color w:val="7F6000"/>
          <w:sz w:val="22"/>
          <w:szCs w:val="22"/>
        </w:rPr>
        <w:t xml:space="preserve">V10 STRUCTURAL CHANGE: H-2A and H-2B workers are now documented and displayed as SEPARATE groups throughout the tool — in the diagram, in the dichotomy panels, and in all data displays. They share a program category but have meaningfully different structures, employer relationships, and exploitation patterns.</w:t>
      </w:r>
    </w:p>
    <w:p>
      <w:pPr>
        <w:spacing w:after="80" w:before="80"/>
      </w:pPr>
    </w:p>
    <w:p>
      <w:pPr>
        <w:pStyle w:val="Heading2"/>
        <w:spacing w:after="80" w:before="240"/>
      </w:pPr>
      <w:r>
        <w:rPr>
          <w:rFonts w:ascii="Arial" w:cs="Arial" w:eastAsia="Arial" w:hAnsi="Arial"/>
          <w:b/>
          <w:bCs/>
          <w:color w:val="1F3864"/>
          <w:sz w:val="26"/>
          <w:szCs w:val="26"/>
        </w:rPr>
        <w:t xml:space="preserve">H-2A — Agricultural (Uncapped)</w:t>
      </w:r>
    </w:p>
    <w:p>
      <w:pPr>
        <w:pStyle w:val="ListParagraph"/>
        <w:numPr>
          <w:ilvl w:val="0"/>
          <w:numId w:val="2"/>
        </w:numPr>
        <w:spacing w:after="40" w:before="40"/>
      </w:pPr>
      <w:r>
        <w:rPr>
          <w:rFonts w:ascii="Arial" w:cs="Arial" w:eastAsia="Arial" w:hAnsi="Arial"/>
          <w:color w:val="000000"/>
          <w:sz w:val="21"/>
          <w:szCs w:val="21"/>
        </w:rPr>
        <w:t xml:space="preserve">FY2025: 398,258 positions certified — nearly triple mid-2010s levels</w:t>
      </w:r>
    </w:p>
    <w:p>
      <w:pPr>
        <w:pStyle w:val="ListParagraph"/>
        <w:numPr>
          <w:ilvl w:val="0"/>
          <w:numId w:val="2"/>
        </w:numPr>
        <w:spacing w:after="40" w:before="40"/>
      </w:pPr>
      <w:r>
        <w:rPr>
          <w:rFonts w:ascii="Arial" w:cs="Arial" w:eastAsia="Arial" w:hAnsi="Arial"/>
          <w:color w:val="000000"/>
          <w:sz w:val="21"/>
          <w:szCs w:val="21"/>
        </w:rPr>
        <w:t xml:space="preserve">FY2026 Q1: 62,341 positions certified (down ~14% from FY2025 Q1)</w:t>
      </w:r>
    </w:p>
    <w:p>
      <w:pPr>
        <w:pStyle w:val="ListParagraph"/>
        <w:numPr>
          <w:ilvl w:val="0"/>
          <w:numId w:val="2"/>
        </w:numPr>
        <w:spacing w:after="40" w:before="40"/>
      </w:pPr>
      <w:r>
        <w:rPr>
          <w:rFonts w:ascii="Arial" w:cs="Arial" w:eastAsia="Arial" w:hAnsi="Arial"/>
          <w:color w:val="000000"/>
          <w:sz w:val="21"/>
          <w:szCs w:val="21"/>
        </w:rPr>
        <w:t xml:space="preserve">DOL approves ~99% of applications</w:t>
      </w:r>
    </w:p>
    <w:p>
      <w:pPr>
        <w:pStyle w:val="ListParagraph"/>
        <w:numPr>
          <w:ilvl w:val="0"/>
          <w:numId w:val="2"/>
        </w:numPr>
        <w:spacing w:after="40" w:before="40"/>
      </w:pPr>
      <w:r>
        <w:rPr>
          <w:rFonts w:ascii="Arial" w:cs="Arial" w:eastAsia="Arial" w:hAnsi="Arial"/>
          <w:color w:val="000000"/>
          <w:sz w:val="21"/>
          <w:szCs w:val="21"/>
        </w:rPr>
        <w:t xml:space="preserve">Mexico: ~90–92% of H-2A workers</w:t>
      </w:r>
    </w:p>
    <w:p>
      <w:pPr>
        <w:pStyle w:val="ListParagraph"/>
        <w:numPr>
          <w:ilvl w:val="0"/>
          <w:numId w:val="2"/>
        </w:numPr>
        <w:spacing w:after="40" w:before="40"/>
      </w:pPr>
      <w:r>
        <w:rPr>
          <w:rFonts w:ascii="Arial" w:cs="Arial" w:eastAsia="Arial" w:hAnsi="Arial"/>
          <w:color w:val="000000"/>
          <w:sz w:val="21"/>
          <w:szCs w:val="21"/>
        </w:rPr>
        <w:t xml:space="preserve">Top sponsors: NCGA Inc. (10,398) · Foothill Packing (6,959) · Wafla (4,913) · Temp Labor LLC (4,891) · Fresh Harvest (4,375)</w:t>
      </w:r>
    </w:p>
    <w:p>
      <w:pPr>
        <w:pStyle w:val="ListParagraph"/>
        <w:numPr>
          <w:ilvl w:val="0"/>
          <w:numId w:val="2"/>
        </w:numPr>
        <w:spacing w:after="40" w:before="40"/>
      </w:pPr>
      <w:r>
        <w:rPr>
          <w:rFonts w:ascii="Arial" w:cs="Arial" w:eastAsia="Arial" w:hAnsi="Arial"/>
          <w:color w:val="000000"/>
          <w:sz w:val="21"/>
          <w:szCs w:val="21"/>
        </w:rPr>
        <w:t xml:space="preserve">AEWR gross: often $12–$16/hr before deductions</w:t>
      </w:r>
    </w:p>
    <w:p>
      <w:pPr>
        <w:pStyle w:val="ListParagraph"/>
        <w:numPr>
          <w:ilvl w:val="0"/>
          <w:numId w:val="2"/>
        </w:numPr>
        <w:spacing w:after="40" w:before="40"/>
      </w:pPr>
      <w:r>
        <w:rPr>
          <w:rFonts w:ascii="Arial" w:cs="Arial" w:eastAsia="Arial" w:hAnsi="Arial"/>
          <w:color w:val="000000"/>
          <w:sz w:val="21"/>
          <w:szCs w:val="21"/>
        </w:rPr>
        <w:t xml:space="preserve">Meal deduction: up to $16.78/day (2026 max)</w:t>
      </w:r>
    </w:p>
    <w:p>
      <w:pPr>
        <w:pStyle w:val="ListParagraph"/>
        <w:numPr>
          <w:ilvl w:val="0"/>
          <w:numId w:val="2"/>
        </w:numPr>
        <w:spacing w:after="40" w:before="40"/>
      </w:pPr>
      <w:r>
        <w:rPr>
          <w:rFonts w:ascii="Arial" w:cs="Arial" w:eastAsia="Arial" w:hAnsi="Arial"/>
          <w:color w:val="000000"/>
          <w:sz w:val="21"/>
          <w:szCs w:val="21"/>
        </w:rPr>
        <w:t xml:space="preserve">Housing deduction (2025 IFR): up to 30% of AEWR</w:t>
      </w:r>
    </w:p>
    <w:p>
      <w:pPr>
        <w:pStyle w:val="ListParagraph"/>
        <w:numPr>
          <w:ilvl w:val="0"/>
          <w:numId w:val="2"/>
        </w:numPr>
        <w:spacing w:after="40" w:before="40"/>
      </w:pPr>
      <w:r>
        <w:rPr>
          <w:rFonts w:ascii="Arial" w:cs="Arial" w:eastAsia="Arial" w:hAnsi="Arial"/>
          <w:color w:val="000000"/>
          <w:sz w:val="21"/>
          <w:szCs w:val="21"/>
        </w:rPr>
        <w:t xml:space="preserve">EPI: 2026 IFR wage cuts transfer $1.7–$2.1B from H-2A workers to employers in one year</w:t>
      </w:r>
    </w:p>
    <w:p>
      <w:pPr>
        <w:pStyle w:val="ListParagraph"/>
        <w:numPr>
          <w:ilvl w:val="0"/>
          <w:numId w:val="2"/>
        </w:numPr>
        <w:spacing w:after="40" w:before="40"/>
      </w:pPr>
      <w:r>
        <w:rPr>
          <w:rFonts w:ascii="Arial" w:cs="Arial" w:eastAsia="Arial" w:hAnsi="Arial"/>
          <w:color w:val="000000"/>
          <w:sz w:val="21"/>
          <w:szCs w:val="21"/>
        </w:rPr>
        <w:t xml:space="preserve">DOL's own IFR analysis: $785M transferred from H-2A workers to employers FY2025 alone</w:t>
      </w:r>
    </w:p>
    <w:p>
      <w:pPr>
        <w:pStyle w:val="ListParagraph"/>
        <w:numPr>
          <w:ilvl w:val="0"/>
          <w:numId w:val="2"/>
        </w:numPr>
        <w:spacing w:after="40" w:before="40"/>
      </w:pPr>
      <w:r>
        <w:rPr>
          <w:rFonts w:ascii="Arial" w:cs="Arial" w:eastAsia="Arial" w:hAnsi="Arial"/>
          <w:color w:val="000000"/>
          <w:sz w:val="21"/>
          <w:szCs w:val="21"/>
        </w:rPr>
        <w:t xml:space="preserve">Illegal recruiter fees: $1,000–$9,000+ upfront; loans at up to 20%/month interest</w:t>
      </w:r>
    </w:p>
    <w:p>
      <w:pPr>
        <w:spacing w:after="80" w:before="80"/>
      </w:pPr>
    </w:p>
    <w:p>
      <w:pPr>
        <w:pStyle w:val="Heading2"/>
        <w:spacing w:after="80" w:before="240"/>
      </w:pPr>
      <w:r>
        <w:rPr>
          <w:rFonts w:ascii="Arial" w:cs="Arial" w:eastAsia="Arial" w:hAnsi="Arial"/>
          <w:b/>
          <w:bCs/>
          <w:color w:val="1F3864"/>
          <w:sz w:val="26"/>
          <w:szCs w:val="26"/>
        </w:rPr>
        <w:t xml:space="preserve">H-2B — Non-Agricultural Seasonal (Capped)</w:t>
      </w:r>
    </w:p>
    <w:p>
      <w:pPr>
        <w:pStyle w:val="ListParagraph"/>
        <w:numPr>
          <w:ilvl w:val="0"/>
          <w:numId w:val="2"/>
        </w:numPr>
        <w:spacing w:after="40" w:before="40"/>
      </w:pPr>
      <w:r>
        <w:rPr>
          <w:rFonts w:ascii="Arial" w:cs="Arial" w:eastAsia="Arial" w:hAnsi="Arial"/>
          <w:color w:val="000000"/>
          <w:sz w:val="21"/>
          <w:szCs w:val="21"/>
        </w:rPr>
        <w:t xml:space="preserve">Statutory cap: 66,000 (set 1992, never raised) — DHS supplements to 130,716 total in FY2024</w:t>
      </w:r>
    </w:p>
    <w:p>
      <w:pPr>
        <w:pStyle w:val="ListParagraph"/>
        <w:numPr>
          <w:ilvl w:val="0"/>
          <w:numId w:val="2"/>
        </w:numPr>
        <w:spacing w:after="40" w:before="40"/>
      </w:pPr>
      <w:r>
        <w:rPr>
          <w:rFonts w:ascii="Arial" w:cs="Arial" w:eastAsia="Arial" w:hAnsi="Arial"/>
          <w:color w:val="000000"/>
          <w:sz w:val="21"/>
          <w:szCs w:val="21"/>
        </w:rPr>
        <w:t xml:space="preserve">Total H-2B workers FY2024: 169,177 — more than 2.5x the original statutory cap</w:t>
      </w:r>
    </w:p>
    <w:p>
      <w:pPr>
        <w:pStyle w:val="ListParagraph"/>
        <w:numPr>
          <w:ilvl w:val="0"/>
          <w:numId w:val="2"/>
        </w:numPr>
        <w:spacing w:after="40" w:before="40"/>
      </w:pPr>
      <w:r>
        <w:rPr>
          <w:rFonts w:ascii="Arial" w:cs="Arial" w:eastAsia="Arial" w:hAnsi="Arial"/>
          <w:color w:val="000000"/>
          <w:sz w:val="21"/>
          <w:szCs w:val="21"/>
        </w:rPr>
        <w:t xml:space="preserve">Average certified job duration: 232 days — 53% certified for 8+ months ('temporary' in name only)</w:t>
      </w:r>
    </w:p>
    <w:p>
      <w:pPr>
        <w:pStyle w:val="ListParagraph"/>
        <w:numPr>
          <w:ilvl w:val="0"/>
          <w:numId w:val="2"/>
        </w:numPr>
        <w:spacing w:after="40" w:before="40"/>
      </w:pPr>
      <w:r>
        <w:rPr>
          <w:rFonts w:ascii="Arial" w:cs="Arial" w:eastAsia="Arial" w:hAnsi="Arial"/>
          <w:color w:val="000000"/>
          <w:sz w:val="21"/>
          <w:szCs w:val="21"/>
        </w:rPr>
        <w:t xml:space="preserve">Mexico: ~62% of H-2B workers | Central America + Jamaica: ~30%</w:t>
      </w:r>
    </w:p>
    <w:p>
      <w:pPr>
        <w:pStyle w:val="ListParagraph"/>
        <w:numPr>
          <w:ilvl w:val="0"/>
          <w:numId w:val="2"/>
        </w:numPr>
        <w:spacing w:after="40" w:before="40"/>
      </w:pPr>
      <w:r>
        <w:rPr>
          <w:rFonts w:ascii="Arial" w:cs="Arial" w:eastAsia="Arial" w:hAnsi="Arial"/>
          <w:color w:val="000000"/>
          <w:sz w:val="21"/>
          <w:szCs w:val="21"/>
        </w:rPr>
        <w:t xml:space="preserve">Top occupations: Landscaping 45.86% · Food preparation 14.12% · Construction 7.70%</w:t>
      </w:r>
    </w:p>
    <w:p>
      <w:pPr>
        <w:pStyle w:val="ListParagraph"/>
        <w:numPr>
          <w:ilvl w:val="0"/>
          <w:numId w:val="2"/>
        </w:numPr>
        <w:spacing w:after="40" w:before="40"/>
      </w:pPr>
      <w:r>
        <w:rPr>
          <w:rFonts w:ascii="Arial" w:cs="Arial" w:eastAsia="Arial" w:hAnsi="Arial"/>
          <w:color w:val="000000"/>
          <w:sz w:val="21"/>
          <w:szCs w:val="21"/>
        </w:rPr>
        <w:t xml:space="preserve">Top sponsors: ABC Professional Tree Services (2,103) · Progressive Solutions (2,073) · Genuine Builders (1,899) · Landscape Workshop (1,840) · Vivint (1,262)</w:t>
      </w:r>
    </w:p>
    <w:p>
      <w:pPr>
        <w:pStyle w:val="ListParagraph"/>
        <w:numPr>
          <w:ilvl w:val="0"/>
          <w:numId w:val="2"/>
        </w:numPr>
        <w:spacing w:after="40" w:before="40"/>
      </w:pPr>
      <w:r>
        <w:rPr>
          <w:rFonts w:ascii="Arial" w:cs="Arial" w:eastAsia="Arial" w:hAnsi="Arial"/>
          <w:color w:val="000000"/>
          <w:sz w:val="21"/>
          <w:szCs w:val="21"/>
        </w:rPr>
        <w:t xml:space="preserve">In all top-15 H-2B occupations, certified wages were below OEWS national average</w:t>
      </w:r>
    </w:p>
    <w:p>
      <w:pPr>
        <w:pStyle w:val="ListParagraph"/>
        <w:numPr>
          <w:ilvl w:val="0"/>
          <w:numId w:val="2"/>
        </w:numPr>
        <w:spacing w:after="40" w:before="40"/>
      </w:pPr>
      <w:r>
        <w:rPr>
          <w:rFonts w:ascii="Arial" w:cs="Arial" w:eastAsia="Arial" w:hAnsi="Arial"/>
          <w:color w:val="000000"/>
          <w:sz w:val="21"/>
          <w:szCs w:val="21"/>
        </w:rPr>
        <w:t xml:space="preserve">Landscaping gap: $17.55/hr H-2B vs. $19.66/hr national average (10.7% below)</w:t>
      </w:r>
    </w:p>
    <w:p>
      <w:pPr>
        <w:pStyle w:val="ListParagraph"/>
        <w:numPr>
          <w:ilvl w:val="0"/>
          <w:numId w:val="2"/>
        </w:numPr>
        <w:spacing w:after="40" w:before="40"/>
      </w:pPr>
      <w:r>
        <w:rPr>
          <w:rFonts w:ascii="Arial" w:cs="Arial" w:eastAsia="Arial" w:hAnsi="Arial"/>
          <w:color w:val="000000"/>
          <w:sz w:val="21"/>
          <w:szCs w:val="21"/>
        </w:rPr>
        <w:t xml:space="preserve">Forest workers gap: $15.51/hr vs. $20.59/hr (24.7% below — largest gap)</w:t>
      </w:r>
    </w:p>
    <w:p>
      <w:pPr>
        <w:spacing w:after="80" w:before="80"/>
      </w:pPr>
    </w:p>
    <w:p>
      <w:pPr>
        <w:pStyle w:val="Heading2"/>
        <w:spacing w:after="80" w:before="240"/>
      </w:pPr>
      <w:r>
        <w:rPr>
          <w:rFonts w:ascii="Arial" w:cs="Arial" w:eastAsia="Arial" w:hAnsi="Arial"/>
          <w:b/>
          <w:bCs/>
          <w:color w:val="1F3864"/>
          <w:sz w:val="26"/>
          <w:szCs w:val="26"/>
        </w:rPr>
        <w:t xml:space="preserve">FLC Structure — CRITICAL NOTE</w:t>
      </w:r>
    </w:p>
    <w:p>
      <w:pPr>
        <w:shd w:fill="EAF1FB" w:val="clear"/>
        <w:spacing w:after="80" w:before="80"/>
      </w:pPr>
      <w:r>
        <w:rPr>
          <w:rFonts w:ascii="Arial" w:cs="Arial" w:eastAsia="Arial" w:hAnsi="Arial"/>
          <w:b/>
          <w:bCs/>
          <w:color w:val="1F3864"/>
          <w:sz w:val="22"/>
          <w:szCs w:val="22"/>
        </w:rPr>
        <w:t xml:space="preserve">Farm Labor Contractors (FLCs) are the certified H-2A sponsors but are positioned BELOW end-user farms in the visual diagram. The human/labor logic chain is: Workers → End-User Farms → FLCs → Large AG Operators. Arrow direction carries economic directionality. This is an intentional structural decision — do not 'correct' it.</w:t>
      </w:r>
    </w:p>
    <w:p>
      <w:pPr>
        <w:spacing w:after="80" w:before="80"/>
      </w:pPr>
    </w:p>
    <w:p>
      <w:pPr>
        <w:pStyle w:val="Heading2"/>
        <w:spacing w:after="80" w:before="240"/>
      </w:pPr>
      <w:r>
        <w:rPr>
          <w:rFonts w:ascii="Arial" w:cs="Arial" w:eastAsia="Arial" w:hAnsi="Arial"/>
          <w:b/>
          <w:bCs/>
          <w:color w:val="1F3864"/>
          <w:sz w:val="26"/>
          <w:szCs w:val="26"/>
        </w:rPr>
        <w:t xml:space="preserve">Enforcement</w:t>
      </w:r>
    </w:p>
    <w:p>
      <w:pPr>
        <w:pStyle w:val="ListParagraph"/>
        <w:numPr>
          <w:ilvl w:val="0"/>
          <w:numId w:val="2"/>
        </w:numPr>
        <w:spacing w:after="40" w:before="40"/>
      </w:pPr>
      <w:r>
        <w:rPr>
          <w:rFonts w:ascii="Arial" w:cs="Arial" w:eastAsia="Arial" w:hAnsi="Arial"/>
          <w:color w:val="000000"/>
          <w:sz w:val="21"/>
          <w:szCs w:val="21"/>
        </w:rPr>
        <w:t xml:space="preserve">H-2A violations: 54% of all agricultural back-wage assessments FY2018–2023</w:t>
      </w:r>
    </w:p>
    <w:p>
      <w:pPr>
        <w:pStyle w:val="ListParagraph"/>
        <w:numPr>
          <w:ilvl w:val="0"/>
          <w:numId w:val="2"/>
        </w:numPr>
        <w:spacing w:after="40" w:before="40"/>
      </w:pPr>
      <w:r>
        <w:rPr>
          <w:rFonts w:ascii="Arial" w:cs="Arial" w:eastAsia="Arial" w:hAnsi="Arial"/>
          <w:color w:val="000000"/>
          <w:sz w:val="21"/>
          <w:szCs w:val="21"/>
        </w:rPr>
        <w:t xml:space="preserve">DOL/WHD ag investigations: only 649 — down &gt;50% from decade ago, while program nearly tripled</w:t>
      </w:r>
    </w:p>
    <w:p>
      <w:pPr>
        <w:pStyle w:val="ListParagraph"/>
        <w:numPr>
          <w:ilvl w:val="0"/>
          <w:numId w:val="2"/>
        </w:numPr>
        <w:spacing w:after="40" w:before="40"/>
      </w:pPr>
      <w:r>
        <w:rPr>
          <w:rFonts w:ascii="Arial" w:cs="Arial" w:eastAsia="Arial" w:hAnsi="Arial"/>
          <w:color w:val="000000"/>
          <w:sz w:val="21"/>
          <w:szCs w:val="21"/>
        </w:rPr>
        <w:t xml:space="preserve">Polaris: 2,841 H-2A + 853 H-2B trafficking victims identified 2018–2020</w:t>
      </w:r>
    </w:p>
    <w:p>
      <w:pPr>
        <w:pStyle w:val="ListParagraph"/>
        <w:numPr>
          <w:ilvl w:val="0"/>
          <w:numId w:val="2"/>
        </w:numPr>
        <w:spacing w:after="40" w:before="40"/>
      </w:pPr>
      <w:r>
        <w:rPr>
          <w:rFonts w:ascii="Arial" w:cs="Arial" w:eastAsia="Arial" w:hAnsi="Arial"/>
          <w:color w:val="000000"/>
          <w:sz w:val="21"/>
          <w:szCs w:val="21"/>
        </w:rPr>
        <w:t xml:space="preserve">Lucky Growers (CA, Dec 2025): pest-infested housing — $171,400 back wages + $76,274 penalties</w:t>
      </w:r>
    </w:p>
    <w:p>
      <w:pPr>
        <w:pStyle w:val="ListParagraph"/>
        <w:numPr>
          <w:ilvl w:val="0"/>
          <w:numId w:val="2"/>
        </w:numPr>
        <w:spacing w:after="40" w:before="40"/>
      </w:pPr>
      <w:r>
        <w:rPr>
          <w:rFonts w:ascii="Arial" w:cs="Arial" w:eastAsia="Arial" w:hAnsi="Arial"/>
          <w:color w:val="000000"/>
          <w:sz w:val="21"/>
          <w:szCs w:val="21"/>
        </w:rPr>
        <w:t xml:space="preserve">Operation Blooming Onion (Georgia, 2015–2026): forced labor, violence, sexual assault, deaths — $200M+ contractor profit</w:t>
      </w:r>
    </w:p>
    <w:p>
      <w:pPr>
        <w:pStyle w:val="ListParagraph"/>
        <w:numPr>
          <w:ilvl w:val="0"/>
          <w:numId w:val="2"/>
        </w:numPr>
        <w:spacing w:after="40" w:before="40"/>
      </w:pPr>
      <w:r>
        <w:rPr>
          <w:rFonts w:ascii="Arial" w:cs="Arial" w:eastAsia="Arial" w:hAnsi="Arial"/>
          <w:color w:val="000000"/>
          <w:sz w:val="21"/>
          <w:szCs w:val="21"/>
        </w:rPr>
        <w:t xml:space="preserve">Grimmway Farms (PE-owned): Aug 2025 court ordered $427,456 back wages + civil penalties</w:t>
      </w:r>
    </w:p>
    <w:p>
      <w:pPr>
        <w:pStyle w:val="ListParagraph"/>
        <w:numPr>
          <w:ilvl w:val="0"/>
          <w:numId w:val="2"/>
        </w:numPr>
        <w:spacing w:after="40" w:before="40"/>
      </w:pPr>
      <w:r>
        <w:rPr>
          <w:rFonts w:ascii="Arial" w:cs="Arial" w:eastAsia="Arial" w:hAnsi="Arial"/>
          <w:color w:val="000000"/>
          <w:sz w:val="21"/>
          <w:szCs w:val="21"/>
        </w:rPr>
        <w:t xml:space="preserve">2024 Farmworker Protection Rule suspended June 2025 — primary anti-retaliation tool removed</w:t>
      </w:r>
    </w:p>
    <w:p>
      <w:pPr>
        <w:spacing w:after="80" w:before="80"/>
      </w:pPr>
    </w:p>
    <w:p>
      <w:pPr>
        <w:pBdr>
          <w:bottom w:val="single" w:color="1F3864" w:sz="6" w:space="1"/>
        </w:pBdr>
        <w:spacing w:after="100" w:before="100"/>
      </w:pPr>
    </w:p>
    <w:p>
      <w:pPr>
        <w:pStyle w:val="Heading1"/>
        <w:spacing w:after="120" w:before="360"/>
      </w:pPr>
      <w:r>
        <w:rPr>
          <w:rFonts w:ascii="Arial" w:cs="Arial" w:eastAsia="Arial" w:hAnsi="Arial"/>
          <w:b/>
          <w:bCs/>
          <w:color w:val="1F3864"/>
          <w:sz w:val="32"/>
          <w:szCs w:val="32"/>
        </w:rPr>
        <w:t xml:space="preserve">SECTION 08 — THE CORPORATE LAYER</w:t>
      </w:r>
    </w:p>
    <w:p>
      <w:pPr>
        <w:shd w:fill="EAF3DE" w:val="clear"/>
        <w:spacing w:after="80" w:before="80"/>
      </w:pPr>
      <w:r>
        <w:rPr>
          <w:rFonts w:ascii="Arial" w:cs="Arial" w:eastAsia="Arial" w:hAnsi="Arial"/>
          <w:b/>
          <w:bCs/>
          <w:color w:val="375623"/>
          <w:sz w:val="22"/>
          <w:szCs w:val="22"/>
        </w:rPr>
        <w:t xml:space="preserve">PHASE 4 RESEARCH COMPLETE (April 2026) — All subsections 09-A through 09-M verified. See Master Research File v2, Chapter 09.</w:t>
      </w:r>
    </w:p>
    <w:p>
      <w:pPr>
        <w:spacing w:after="80" w:before="80"/>
      </w:pPr>
    </w:p>
    <w:p>
      <w:pPr>
        <w:pStyle w:val="Heading2"/>
        <w:spacing w:after="80" w:before="240"/>
      </w:pPr>
      <w:r>
        <w:rPr>
          <w:rFonts w:ascii="Arial" w:cs="Arial" w:eastAsia="Arial" w:hAnsi="Arial"/>
          <w:b/>
          <w:bCs/>
          <w:color w:val="1F3864"/>
          <w:sz w:val="26"/>
          <w:szCs w:val="26"/>
        </w:rPr>
        <w:t xml:space="preserve">Asset Manager Ownership of H-1B Sponsors (Q4 2025 13F)</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900"/>
        <w:gridCol w:w="1900"/>
        <w:gridCol w:w="17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Company</w:t>
            </w:r>
          </w:p>
        </w:tc>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Vanguard</w:t>
            </w:r>
          </w:p>
        </w:tc>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BlackRock</w:t>
            </w:r>
          </w:p>
        </w:tc>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State Street</w:t>
            </w:r>
          </w:p>
        </w:tc>
        <w:tc>
          <w:tcPr>
            <w:tcW w:type="dxa" w:w="17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Notes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Amazon (AMZN)</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7.86%</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6.83%</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3.61%</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H-1B Sponsor #1</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Meta (META)</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7.91%</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6.78%</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3.59%</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H-1B Sponsor #2</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Microsoft (MSFT)</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9.67%</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8.11%</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4.12%</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H-1B Sponsor #3</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Google/Alphabet</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7.74%</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6.64%</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3.44%</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H-1B Sponsor #4</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TCS (TCS.NS)</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0.77%</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1.04%</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&lt;0.5%</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71.77% Tata Sons (promoter)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Dole plc</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0.82%</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5.11%</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1.36%</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Top H-2A supply chain</w:t>
            </w:r>
          </w:p>
        </w:tc>
      </w:tr>
    </w:tbl>
    <w:p>
      <w:pPr>
        <w:spacing w:after="80" w:before="80"/>
      </w:pPr>
    </w:p>
    <w:p>
      <w:pPr>
        <w:pStyle w:val="Heading2"/>
        <w:spacing w:after="80" w:before="240"/>
      </w:pPr>
      <w:r>
        <w:rPr>
          <w:rFonts w:ascii="Arial" w:cs="Arial" w:eastAsia="Arial" w:hAnsi="Arial"/>
          <w:b/>
          <w:bCs/>
          <w:color w:val="1F3864"/>
          <w:sz w:val="26"/>
          <w:szCs w:val="26"/>
        </w:rPr>
        <w:t xml:space="preserve">Federal Contracts &amp; State Subsidies</w:t>
      </w:r>
    </w:p>
    <w:p>
      <w:pPr>
        <w:pStyle w:val="ListParagraph"/>
        <w:numPr>
          <w:ilvl w:val="0"/>
          <w:numId w:val="2"/>
        </w:numPr>
        <w:spacing w:after="40" w:before="40"/>
      </w:pPr>
      <w:r>
        <w:rPr>
          <w:rFonts w:ascii="Arial" w:cs="Arial" w:eastAsia="Arial" w:hAnsi="Arial"/>
          <w:color w:val="000000"/>
          <w:sz w:val="21"/>
          <w:szCs w:val="21"/>
        </w:rPr>
        <w:t xml:space="preserve">Amazon/AWS: ~$798M federal contracts FY2022–2025 · $11.6B+ state subsidies since ~2000</w:t>
      </w:r>
    </w:p>
    <w:p>
      <w:pPr>
        <w:pStyle w:val="ListParagraph"/>
        <w:numPr>
          <w:ilvl w:val="0"/>
          <w:numId w:val="2"/>
        </w:numPr>
        <w:spacing w:after="40" w:before="40"/>
      </w:pPr>
      <w:r>
        <w:rPr>
          <w:rFonts w:ascii="Arial" w:cs="Arial" w:eastAsia="Arial" w:hAnsi="Arial"/>
          <w:color w:val="000000"/>
          <w:sz w:val="21"/>
          <w:szCs w:val="21"/>
        </w:rPr>
        <w:t xml:space="preserve">Microsoft: ~$532M federal contracts · $1.602B state subsidies</w:t>
      </w:r>
    </w:p>
    <w:p>
      <w:pPr>
        <w:pStyle w:val="ListParagraph"/>
        <w:numPr>
          <w:ilvl w:val="0"/>
          <w:numId w:val="2"/>
        </w:numPr>
        <w:spacing w:after="40" w:before="40"/>
      </w:pPr>
      <w:r>
        <w:rPr>
          <w:rFonts w:ascii="Arial" w:cs="Arial" w:eastAsia="Arial" w:hAnsi="Arial"/>
          <w:color w:val="000000"/>
          <w:sz w:val="21"/>
          <w:szCs w:val="21"/>
        </w:rPr>
        <w:t xml:space="preserve">Google/Alphabet: low tens of millions federal · $2.319B state subsidies (131 awards)</w:t>
      </w:r>
    </w:p>
    <w:p>
      <w:pPr>
        <w:pStyle w:val="ListParagraph"/>
        <w:numPr>
          <w:ilvl w:val="0"/>
          <w:numId w:val="2"/>
        </w:numPr>
        <w:spacing w:after="40" w:before="40"/>
      </w:pPr>
      <w:r>
        <w:rPr>
          <w:rFonts w:ascii="Arial" w:cs="Arial" w:eastAsia="Arial" w:hAnsi="Arial"/>
          <w:color w:val="000000"/>
          <w:sz w:val="21"/>
          <w:szCs w:val="21"/>
        </w:rPr>
        <w:t xml:space="preserve">Meta: negligible federal contracts · $60M+ state subsidies</w:t>
      </w:r>
    </w:p>
    <w:p>
      <w:pPr>
        <w:pStyle w:val="ListParagraph"/>
        <w:numPr>
          <w:ilvl w:val="0"/>
          <w:numId w:val="2"/>
        </w:numPr>
        <w:spacing w:after="40" w:before="40"/>
      </w:pPr>
      <w:r>
        <w:rPr>
          <w:rFonts w:ascii="Arial" w:cs="Arial" w:eastAsia="Arial" w:hAnsi="Arial"/>
          <w:color w:val="000000"/>
          <w:sz w:val="21"/>
          <w:szCs w:val="21"/>
        </w:rPr>
        <w:t xml:space="preserve">TCS: minimal federal contracts · no U.S. state subsidies tracked</w:t>
      </w:r>
    </w:p>
    <w:p>
      <w:pPr>
        <w:spacing w:after="80" w:before="80"/>
      </w:pPr>
    </w:p>
    <w:p>
      <w:pPr>
        <w:pStyle w:val="Heading2"/>
        <w:spacing w:after="80" w:before="240"/>
      </w:pPr>
      <w:r>
        <w:rPr>
          <w:rFonts w:ascii="Arial" w:cs="Arial" w:eastAsia="Arial" w:hAnsi="Arial"/>
          <w:b/>
          <w:bCs/>
          <w:color w:val="1F3864"/>
          <w:sz w:val="26"/>
          <w:szCs w:val="26"/>
        </w:rPr>
        <w:t xml:space="preserve">Lobbying 2025</w:t>
      </w:r>
    </w:p>
    <w:p>
      <w:pPr>
        <w:pStyle w:val="ListParagraph"/>
        <w:numPr>
          <w:ilvl w:val="0"/>
          <w:numId w:val="2"/>
        </w:numPr>
        <w:spacing w:after="40" w:before="40"/>
      </w:pPr>
      <w:r>
        <w:rPr>
          <w:rFonts w:ascii="Arial" w:cs="Arial" w:eastAsia="Arial" w:hAnsi="Arial"/>
          <w:color w:val="000000"/>
          <w:sz w:val="21"/>
          <w:szCs w:val="21"/>
        </w:rPr>
        <w:t xml:space="preserve">Meta: $26.29M · Amazon: $18.87M · Google: $16.54M · Microsoft: $10.11M · TCS: $1.04M</w:t>
      </w:r>
    </w:p>
    <w:p>
      <w:pPr>
        <w:pStyle w:val="ListParagraph"/>
        <w:numPr>
          <w:ilvl w:val="0"/>
          <w:numId w:val="2"/>
        </w:numPr>
        <w:spacing w:after="40" w:before="40"/>
      </w:pPr>
      <w:r>
        <w:rPr>
          <w:rFonts w:ascii="Arial" w:cs="Arial" w:eastAsia="Arial" w:hAnsi="Arial"/>
          <w:color w:val="000000"/>
          <w:sz w:val="21"/>
          <w:szCs w:val="21"/>
        </w:rPr>
        <w:t xml:space="preserve">Total top 4 U.S. tech sponsors: $71.8M federal lobbying 2025</w:t>
      </w:r>
    </w:p>
    <w:p>
      <w:pPr>
        <w:pStyle w:val="ListParagraph"/>
        <w:numPr>
          <w:ilvl w:val="0"/>
          <w:numId w:val="2"/>
        </w:numPr>
        <w:spacing w:after="40" w:before="40"/>
      </w:pPr>
      <w:r>
        <w:rPr>
          <w:rFonts w:ascii="Arial" w:cs="Arial" w:eastAsia="Arial" w:hAnsi="Arial"/>
          <w:color w:val="000000"/>
          <w:sz w:val="21"/>
          <w:szCs w:val="21"/>
        </w:rPr>
        <w:t xml:space="preserve">US Chamber of Commerce: $72.14M — lobbied against strict wage rules</w:t>
      </w:r>
    </w:p>
    <w:p>
      <w:pPr>
        <w:pStyle w:val="ListParagraph"/>
        <w:numPr>
          <w:ilvl w:val="0"/>
          <w:numId w:val="2"/>
        </w:numPr>
        <w:spacing w:after="40" w:before="40"/>
      </w:pPr>
      <w:r>
        <w:rPr>
          <w:rFonts w:ascii="Arial" w:cs="Arial" w:eastAsia="Arial" w:hAnsi="Arial"/>
          <w:color w:val="000000"/>
          <w:sz w:val="21"/>
          <w:szCs w:val="21"/>
        </w:rPr>
        <w:t xml:space="preserve">Total 2025 federal lobbying: $5.08B record (up 14% from 2024)</w:t>
      </w:r>
    </w:p>
    <w:p>
      <w:pPr>
        <w:spacing w:after="80" w:before="80"/>
      </w:pPr>
    </w:p>
    <w:p>
      <w:pPr>
        <w:pStyle w:val="Heading2"/>
        <w:spacing w:after="80" w:before="240"/>
      </w:pPr>
      <w:r>
        <w:rPr>
          <w:rFonts w:ascii="Arial" w:cs="Arial" w:eastAsia="Arial" w:hAnsi="Arial"/>
          <w:b/>
          <w:bCs/>
          <w:color w:val="1F3864"/>
          <w:sz w:val="26"/>
          <w:szCs w:val="26"/>
        </w:rPr>
        <w:t xml:space="preserve">PAC Contributions &amp; Inaugural Donations</w:t>
      </w:r>
    </w:p>
    <w:p>
      <w:pPr>
        <w:pStyle w:val="ListParagraph"/>
        <w:numPr>
          <w:ilvl w:val="0"/>
          <w:numId w:val="2"/>
        </w:numPr>
        <w:spacing w:after="40" w:before="40"/>
      </w:pPr>
      <w:r>
        <w:rPr>
          <w:rFonts w:ascii="Arial" w:cs="Arial" w:eastAsia="Arial" w:hAnsi="Arial"/>
          <w:color w:val="000000"/>
          <w:sz w:val="21"/>
          <w:szCs w:val="21"/>
        </w:rPr>
        <w:t xml:space="preserve">All four U.S. tech sponsors: ~50/50 Dem/Rep PAC split — bipartisan access strategy</w:t>
      </w:r>
    </w:p>
    <w:p>
      <w:pPr>
        <w:pStyle w:val="ListParagraph"/>
        <w:numPr>
          <w:ilvl w:val="0"/>
          <w:numId w:val="2"/>
        </w:numPr>
        <w:spacing w:after="40" w:before="40"/>
      </w:pPr>
      <w:r>
        <w:rPr>
          <w:rFonts w:ascii="Arial" w:cs="Arial" w:eastAsia="Arial" w:hAnsi="Arial"/>
          <w:color w:val="000000"/>
          <w:sz w:val="21"/>
          <w:szCs w:val="21"/>
        </w:rPr>
        <w:t xml:space="preserve">Amazon, Meta, Microsoft, Google: each donated $1M to Trump 2025 inaugural committee</w:t>
      </w:r>
    </w:p>
    <w:p>
      <w:pPr>
        <w:pStyle w:val="ListParagraph"/>
        <w:numPr>
          <w:ilvl w:val="0"/>
          <w:numId w:val="2"/>
        </w:numPr>
        <w:spacing w:after="40" w:before="40"/>
      </w:pPr>
      <w:r>
        <w:rPr>
          <w:rFonts w:ascii="Arial" w:cs="Arial" w:eastAsia="Arial" w:hAnsi="Arial"/>
          <w:color w:val="000000"/>
          <w:sz w:val="21"/>
          <w:szCs w:val="21"/>
        </w:rPr>
        <w:t xml:space="preserve">But employee donations: Amazon employees 77% Dem · Meta 86% Dem · Microsoft 84% Dem · Google ~80–90% Dem</w:t>
      </w:r>
    </w:p>
    <w:p>
      <w:pPr>
        <w:spacing w:after="80" w:before="80"/>
      </w:pPr>
    </w:p>
    <w:p>
      <w:pPr>
        <w:pStyle w:val="Heading2"/>
        <w:spacing w:after="80" w:before="240"/>
      </w:pPr>
      <w:r>
        <w:rPr>
          <w:rFonts w:ascii="Arial" w:cs="Arial" w:eastAsia="Arial" w:hAnsi="Arial"/>
          <w:b/>
          <w:bCs/>
          <w:color w:val="1F3864"/>
          <w:sz w:val="26"/>
          <w:szCs w:val="26"/>
        </w:rPr>
        <w:t xml:space="preserve">H-2 Private Equity Chain</w:t>
      </w:r>
    </w:p>
    <w:p>
      <w:pPr>
        <w:pStyle w:val="ListParagraph"/>
        <w:numPr>
          <w:ilvl w:val="0"/>
          <w:numId w:val="2"/>
        </w:numPr>
        <w:spacing w:after="40" w:before="40"/>
      </w:pPr>
      <w:r>
        <w:rPr>
          <w:rFonts w:ascii="Arial" w:cs="Arial" w:eastAsia="Arial" w:hAnsi="Arial"/>
          <w:color w:val="000000"/>
          <w:sz w:val="21"/>
          <w:szCs w:val="21"/>
        </w:rPr>
        <w:t xml:space="preserve">Grimmway Farms (world's largest carrot producer) → Teays River Investments PE (Dec 2020/early 2021) → Aug 2025 court: $427,456 back wages</w:t>
      </w:r>
    </w:p>
    <w:p>
      <w:pPr>
        <w:pStyle w:val="ListParagraph"/>
        <w:numPr>
          <w:ilvl w:val="0"/>
          <w:numId w:val="2"/>
        </w:numPr>
        <w:spacing w:after="40" w:before="40"/>
      </w:pPr>
      <w:r>
        <w:rPr>
          <w:rFonts w:ascii="Arial" w:cs="Arial" w:eastAsia="Arial" w:hAnsi="Arial"/>
          <w:color w:val="000000"/>
          <w:sz w:val="21"/>
          <w:szCs w:val="21"/>
        </w:rPr>
        <w:t xml:space="preserve">Bolthouse Farms → Butterfly Equity PE ($510M, 2019)</w:t>
      </w:r>
    </w:p>
    <w:p>
      <w:pPr>
        <w:pStyle w:val="ListParagraph"/>
        <w:numPr>
          <w:ilvl w:val="0"/>
          <w:numId w:val="2"/>
        </w:numPr>
        <w:spacing w:after="40" w:before="40"/>
      </w:pPr>
      <w:r>
        <w:rPr>
          <w:rFonts w:ascii="Arial" w:cs="Arial" w:eastAsia="Arial" w:hAnsi="Arial"/>
          <w:color w:val="000000"/>
          <w:sz w:val="21"/>
          <w:szCs w:val="21"/>
        </w:rPr>
        <w:t xml:space="preserve">Dole Fresh Vegetables → Arable Capital Partners PE (Aug 5, 2025, $140M) — LP: Washington State Investment Board</w:t>
      </w:r>
    </w:p>
    <w:p>
      <w:pPr>
        <w:pStyle w:val="ListParagraph"/>
        <w:numPr>
          <w:ilvl w:val="0"/>
          <w:numId w:val="2"/>
        </w:numPr>
        <w:spacing w:after="40" w:before="40"/>
      </w:pPr>
      <w:r>
        <w:rPr>
          <w:rFonts w:ascii="Arial" w:cs="Arial" w:eastAsia="Arial" w:hAnsi="Arial"/>
          <w:color w:val="000000"/>
          <w:sz w:val="21"/>
          <w:szCs w:val="21"/>
        </w:rPr>
        <w:t xml:space="preserve">PE controls 60%+ of U.S. fresh carrot production post-buyouts</w:t>
      </w:r>
    </w:p>
    <w:p>
      <w:pPr>
        <w:pStyle w:val="ListParagraph"/>
        <w:numPr>
          <w:ilvl w:val="0"/>
          <w:numId w:val="2"/>
        </w:numPr>
        <w:spacing w:after="40" w:before="40"/>
      </w:pPr>
      <w:r>
        <w:rPr>
          <w:rFonts w:ascii="Arial" w:cs="Arial" w:eastAsia="Arial" w:hAnsi="Arial"/>
          <w:color w:val="000000"/>
          <w:sz w:val="21"/>
          <w:szCs w:val="21"/>
        </w:rPr>
        <w:t xml:space="preserve">Carrot producer price increase post-PE buyouts: &gt;40% vs. 22% general inflation</w:t>
      </w:r>
    </w:p>
    <w:p>
      <w:pPr>
        <w:spacing w:after="80" w:before="80"/>
      </w:pPr>
    </w:p>
    <w:p>
      <w:pPr>
        <w:pBdr>
          <w:bottom w:val="single" w:color="1F3864" w:sz="6" w:space="1"/>
        </w:pBdr>
        <w:spacing w:after="100" w:before="100"/>
      </w:pPr>
    </w:p>
    <w:p>
      <w:pPr>
        <w:pStyle w:val="Heading1"/>
        <w:spacing w:after="120" w:before="360"/>
      </w:pPr>
      <w:r>
        <w:rPr>
          <w:rFonts w:ascii="Arial" w:cs="Arial" w:eastAsia="Arial" w:hAnsi="Arial"/>
          <w:b/>
          <w:bCs/>
          <w:color w:val="1F3864"/>
          <w:sz w:val="32"/>
          <w:szCs w:val="32"/>
        </w:rPr>
        <w:t xml:space="preserve">SECTION 09 — DICHOTOMY OF TRUTH</w:t>
      </w:r>
    </w:p>
    <w:p>
      <w:pPr>
        <w:spacing w:after="60" w:before="60"/>
      </w:pPr>
      <w:r>
        <w:rPr>
          <w:rFonts w:ascii="Arial" w:cs="Arial" w:eastAsia="Arial" w:hAnsi="Arial"/>
          <w:sz w:val="22"/>
          <w:szCs w:val="22"/>
        </w:rPr>
        <w:t xml:space="preserve">Two-column full-page layout. Worker experience left, Effects on Americans right. H-1B and H-2 dichotomies are SEPARATE. H-2A and H-2B worker panels are also now SEPARATE (v10 change).</w:t>
      </w:r>
    </w:p>
    <w:p>
      <w:pPr>
        <w:pStyle w:val="Heading2"/>
        <w:spacing w:after="80" w:before="240"/>
      </w:pPr>
      <w:r>
        <w:rPr>
          <w:rFonts w:ascii="Arial" w:cs="Arial" w:eastAsia="Arial" w:hAnsi="Arial"/>
          <w:b/>
          <w:bCs/>
          <w:color w:val="1F3864"/>
          <w:sz w:val="26"/>
          <w:szCs w:val="26"/>
        </w:rPr>
        <w:t xml:space="preserve">Access</w:t>
      </w:r>
    </w:p>
    <w:p>
      <w:pPr>
        <w:pStyle w:val="ListParagraph"/>
        <w:numPr>
          <w:ilvl w:val="0"/>
          <w:numId w:val="2"/>
        </w:numPr>
        <w:spacing w:after="40" w:before="40"/>
      </w:pPr>
      <w:r>
        <w:rPr>
          <w:rFonts w:ascii="Arial" w:cs="Arial" w:eastAsia="Arial" w:hAnsi="Arial"/>
          <w:color w:val="000000"/>
          <w:sz w:val="21"/>
          <w:szCs w:val="21"/>
        </w:rPr>
        <w:t xml:space="preserve">Via chain node clicks labeled 'Who Are the Workers?' and 'What Is the True Effect on Americans?'</w:t>
      </w:r>
    </w:p>
    <w:p>
      <w:pPr>
        <w:spacing w:after="80" w:before="80"/>
      </w:pPr>
    </w:p>
    <w:p>
      <w:pPr>
        <w:pStyle w:val="Heading2"/>
        <w:spacing w:after="80" w:before="240"/>
      </w:pPr>
      <w:r>
        <w:rPr>
          <w:rFonts w:ascii="Arial" w:cs="Arial" w:eastAsia="Arial" w:hAnsi="Arial"/>
          <w:b/>
          <w:bCs/>
          <w:color w:val="1F3864"/>
          <w:sz w:val="26"/>
          <w:szCs w:val="26"/>
        </w:rPr>
        <w:t xml:space="preserve">H-1B Worker Panel</w:t>
      </w:r>
    </w:p>
    <w:p>
      <w:pPr>
        <w:pStyle w:val="ListParagraph"/>
        <w:numPr>
          <w:ilvl w:val="0"/>
          <w:numId w:val="2"/>
        </w:numPr>
        <w:spacing w:after="40" w:before="40"/>
      </w:pPr>
      <w:r>
        <w:rPr>
          <w:rFonts w:ascii="Arial" w:cs="Arial" w:eastAsia="Arial" w:hAnsi="Arial"/>
          <w:color w:val="000000"/>
          <w:sz w:val="21"/>
          <w:szCs w:val="21"/>
        </w:rPr>
        <w:t xml:space="preserve">16% wage gap vs. comparable U.S. workers; up to 35% at outsourcing firms (NBER 2026)</w:t>
      </w:r>
    </w:p>
    <w:p>
      <w:pPr>
        <w:pStyle w:val="ListParagraph"/>
        <w:numPr>
          <w:ilvl w:val="0"/>
          <w:numId w:val="2"/>
        </w:numPr>
        <w:spacing w:after="40" w:before="40"/>
      </w:pPr>
      <w:r>
        <w:rPr>
          <w:rFonts w:ascii="Arial" w:cs="Arial" w:eastAsia="Arial" w:hAnsi="Arial"/>
          <w:color w:val="000000"/>
          <w:sz w:val="21"/>
          <w:szCs w:val="21"/>
        </w:rPr>
        <w:t xml:space="preserve">60-day deportation clock on job loss; India EB-2 green card wait 12+ years</w:t>
      </w:r>
    </w:p>
    <w:p>
      <w:pPr>
        <w:pStyle w:val="ListParagraph"/>
        <w:numPr>
          <w:ilvl w:val="0"/>
          <w:numId w:val="2"/>
        </w:numPr>
        <w:spacing w:after="40" w:before="40"/>
      </w:pPr>
      <w:r>
        <w:rPr>
          <w:rFonts w:ascii="Arial" w:cs="Arial" w:eastAsia="Arial" w:hAnsi="Arial"/>
          <w:color w:val="000000"/>
          <w:sz w:val="21"/>
          <w:szCs w:val="21"/>
        </w:rPr>
        <w:t xml:space="preserve">Bench time: non-billable periods = reduced/no pay while still tied to sponsor</w:t>
      </w:r>
    </w:p>
    <w:p>
      <w:pPr>
        <w:pStyle w:val="ListParagraph"/>
        <w:numPr>
          <w:ilvl w:val="0"/>
          <w:numId w:val="2"/>
        </w:numPr>
        <w:spacing w:after="40" w:before="40"/>
      </w:pPr>
      <w:r>
        <w:rPr>
          <w:rFonts w:ascii="Arial" w:cs="Arial" w:eastAsia="Arial" w:hAnsi="Arial"/>
          <w:color w:val="000000"/>
          <w:sz w:val="21"/>
          <w:szCs w:val="21"/>
        </w:rPr>
        <w:t xml:space="preserve">Illegal recruiter fees; 4x more likely to live in overcrowded housing</w:t>
      </w:r>
    </w:p>
    <w:p>
      <w:pPr>
        <w:pStyle w:val="ListParagraph"/>
        <w:numPr>
          <w:ilvl w:val="0"/>
          <w:numId w:val="2"/>
        </w:numPr>
        <w:spacing w:after="40" w:before="40"/>
      </w:pPr>
      <w:r>
        <w:rPr>
          <w:rFonts w:ascii="Arial" w:cs="Arial" w:eastAsia="Arial" w:hAnsi="Arial"/>
          <w:color w:val="000000"/>
          <w:sz w:val="21"/>
          <w:szCs w:val="21"/>
        </w:rPr>
        <w:t xml:space="preserve">Annual remittances: $15,000–$25,000+ per worker</w:t>
      </w:r>
    </w:p>
    <w:p>
      <w:pPr>
        <w:spacing w:after="80" w:before="80"/>
      </w:pPr>
    </w:p>
    <w:p>
      <w:pPr>
        <w:pStyle w:val="Heading2"/>
        <w:spacing w:after="80" w:before="240"/>
      </w:pPr>
      <w:r>
        <w:rPr>
          <w:rFonts w:ascii="Arial" w:cs="Arial" w:eastAsia="Arial" w:hAnsi="Arial"/>
          <w:b/>
          <w:bCs/>
          <w:color w:val="1F3864"/>
          <w:sz w:val="26"/>
          <w:szCs w:val="26"/>
        </w:rPr>
        <w:t xml:space="preserve">H-1B American Impact Panel</w:t>
      </w:r>
    </w:p>
    <w:p>
      <w:pPr>
        <w:pStyle w:val="ListParagraph"/>
        <w:numPr>
          <w:ilvl w:val="0"/>
          <w:numId w:val="2"/>
        </w:numPr>
        <w:spacing w:after="40" w:before="40"/>
      </w:pPr>
      <w:r>
        <w:rPr>
          <w:rFonts w:ascii="Arial" w:cs="Arial" w:eastAsia="Arial" w:hAnsi="Arial"/>
          <w:color w:val="000000"/>
          <w:sz w:val="21"/>
          <w:szCs w:val="21"/>
        </w:rPr>
        <w:t xml:space="preserve">85,000 Americans laid off; 34,000 H-1B workers hired — same companies, same years (Sanders Jan 2025)</w:t>
      </w:r>
    </w:p>
    <w:p>
      <w:pPr>
        <w:pStyle w:val="ListParagraph"/>
        <w:numPr>
          <w:ilvl w:val="0"/>
          <w:numId w:val="2"/>
        </w:numPr>
        <w:spacing w:after="40" w:before="40"/>
      </w:pPr>
      <w:r>
        <w:rPr>
          <w:rFonts w:ascii="Arial" w:cs="Arial" w:eastAsia="Arial" w:hAnsi="Arial"/>
          <w:color w:val="000000"/>
          <w:sz w:val="21"/>
          <w:szCs w:val="21"/>
        </w:rPr>
        <w:t xml:space="preserve">Disney 2015: 250 IT workers laid off, forced to train H-1B replacements</w:t>
      </w:r>
    </w:p>
    <w:p>
      <w:pPr>
        <w:pStyle w:val="ListParagraph"/>
        <w:numPr>
          <w:ilvl w:val="0"/>
          <w:numId w:val="2"/>
        </w:numPr>
        <w:spacing w:after="40" w:before="40"/>
      </w:pPr>
      <w:r>
        <w:rPr>
          <w:rFonts w:ascii="Arial" w:cs="Arial" w:eastAsia="Arial" w:hAnsi="Arial"/>
          <w:color w:val="000000"/>
          <w:sz w:val="21"/>
          <w:szCs w:val="21"/>
        </w:rPr>
        <w:t xml:space="preserve">Southern California Edison 2015: 500 workers displaced</w:t>
      </w:r>
    </w:p>
    <w:p>
      <w:pPr>
        <w:pStyle w:val="ListParagraph"/>
        <w:numPr>
          <w:ilvl w:val="0"/>
          <w:numId w:val="2"/>
        </w:numPr>
        <w:spacing w:after="40" w:before="40"/>
      </w:pPr>
      <w:r>
        <w:rPr>
          <w:rFonts w:ascii="Arial" w:cs="Arial" w:eastAsia="Arial" w:hAnsi="Arial"/>
          <w:color w:val="000000"/>
          <w:sz w:val="21"/>
          <w:szCs w:val="21"/>
        </w:rPr>
        <w:t xml:space="preserve">Average offered H-1B wages ~$10,191 below OEWS mean — suppresses entire department wages</w:t>
      </w:r>
    </w:p>
    <w:p>
      <w:pPr>
        <w:spacing w:after="80" w:before="80"/>
      </w:pPr>
    </w:p>
    <w:p>
      <w:pPr>
        <w:pStyle w:val="Heading2"/>
        <w:spacing w:after="80" w:before="240"/>
      </w:pPr>
      <w:r>
        <w:rPr>
          <w:rFonts w:ascii="Arial" w:cs="Arial" w:eastAsia="Arial" w:hAnsi="Arial"/>
          <w:b/>
          <w:bCs/>
          <w:color w:val="1F3864"/>
          <w:sz w:val="26"/>
          <w:szCs w:val="26"/>
        </w:rPr>
        <w:t xml:space="preserve">H-2A Worker Panel</w:t>
      </w:r>
    </w:p>
    <w:p>
      <w:pPr>
        <w:pStyle w:val="ListParagraph"/>
        <w:numPr>
          <w:ilvl w:val="0"/>
          <w:numId w:val="2"/>
        </w:numPr>
        <w:spacing w:after="40" w:before="40"/>
      </w:pPr>
      <w:r>
        <w:rPr>
          <w:rFonts w:ascii="Arial" w:cs="Arial" w:eastAsia="Arial" w:hAnsi="Arial"/>
          <w:color w:val="000000"/>
          <w:sz w:val="21"/>
          <w:szCs w:val="21"/>
        </w:rPr>
        <w:t xml:space="preserve">84% of jobs require lifting, extreme temperatures, repetitive movements</w:t>
      </w:r>
    </w:p>
    <w:p>
      <w:pPr>
        <w:pStyle w:val="ListParagraph"/>
        <w:numPr>
          <w:ilvl w:val="0"/>
          <w:numId w:val="2"/>
        </w:numPr>
        <w:spacing w:after="40" w:before="40"/>
      </w:pPr>
      <w:r>
        <w:rPr>
          <w:rFonts w:ascii="Arial" w:cs="Arial" w:eastAsia="Arial" w:hAnsi="Arial"/>
          <w:color w:val="000000"/>
          <w:sz w:val="21"/>
          <w:szCs w:val="21"/>
        </w:rPr>
        <w:t xml:space="preserve">Triple tether: employer controls visa + housing + employment simultaneously</w:t>
      </w:r>
    </w:p>
    <w:p>
      <w:pPr>
        <w:pStyle w:val="ListParagraph"/>
        <w:numPr>
          <w:ilvl w:val="0"/>
          <w:numId w:val="2"/>
        </w:numPr>
        <w:spacing w:after="40" w:before="40"/>
      </w:pPr>
      <w:r>
        <w:rPr>
          <w:rFonts w:ascii="Arial" w:cs="Arial" w:eastAsia="Arial" w:hAnsi="Arial"/>
          <w:color w:val="000000"/>
          <w:sz w:val="21"/>
          <w:szCs w:val="21"/>
        </w:rPr>
        <w:t xml:space="preserve">Recruiter debt: $1,000–$9,000+ upfront; up to 20%/month interest</w:t>
      </w:r>
    </w:p>
    <w:p>
      <w:pPr>
        <w:pStyle w:val="ListParagraph"/>
        <w:numPr>
          <w:ilvl w:val="0"/>
          <w:numId w:val="2"/>
        </w:numPr>
        <w:spacing w:after="40" w:before="40"/>
      </w:pPr>
      <w:r>
        <w:rPr>
          <w:rFonts w:ascii="Arial" w:cs="Arial" w:eastAsia="Arial" w:hAnsi="Arial"/>
          <w:color w:val="000000"/>
          <w:sz w:val="21"/>
          <w:szCs w:val="21"/>
        </w:rPr>
        <w:t xml:space="preserve">Operation Blooming Onion: forced labor, violence, deaths; $200M+ contractor profit</w:t>
      </w:r>
    </w:p>
    <w:p>
      <w:pPr>
        <w:pStyle w:val="ListParagraph"/>
        <w:numPr>
          <w:ilvl w:val="0"/>
          <w:numId w:val="2"/>
        </w:numPr>
        <w:spacing w:after="40" w:before="40"/>
      </w:pPr>
      <w:r>
        <w:rPr>
          <w:rFonts w:ascii="Arial" w:cs="Arial" w:eastAsia="Arial" w:hAnsi="Arial"/>
          <w:color w:val="000000"/>
          <w:sz w:val="21"/>
          <w:szCs w:val="21"/>
        </w:rPr>
        <w:t xml:space="preserve">Annual remittances: ~$20,000–$25,000 per worker</w:t>
      </w:r>
    </w:p>
    <w:p>
      <w:pPr>
        <w:spacing w:after="80" w:before="80"/>
      </w:pPr>
    </w:p>
    <w:p>
      <w:pPr>
        <w:pStyle w:val="Heading2"/>
        <w:spacing w:after="80" w:before="240"/>
      </w:pPr>
      <w:r>
        <w:rPr>
          <w:rFonts w:ascii="Arial" w:cs="Arial" w:eastAsia="Arial" w:hAnsi="Arial"/>
          <w:b/>
          <w:bCs/>
          <w:color w:val="1F3864"/>
          <w:sz w:val="26"/>
          <w:szCs w:val="26"/>
        </w:rPr>
        <w:t xml:space="preserve">H-2B Worker Panel (NEW — SPLIT FROM H-2A)</w:t>
      </w:r>
    </w:p>
    <w:p>
      <w:pPr>
        <w:pStyle w:val="ListParagraph"/>
        <w:numPr>
          <w:ilvl w:val="0"/>
          <w:numId w:val="2"/>
        </w:numPr>
        <w:spacing w:after="40" w:before="40"/>
      </w:pPr>
      <w:r>
        <w:rPr>
          <w:rFonts w:ascii="Arial" w:cs="Arial" w:eastAsia="Arial" w:hAnsi="Arial"/>
          <w:color w:val="000000"/>
          <w:sz w:val="21"/>
          <w:szCs w:val="21"/>
        </w:rPr>
        <w:t xml:space="preserve">Seasonal workers (landscaping, construction, home services) — no mandatory employer housing</w:t>
      </w:r>
    </w:p>
    <w:p>
      <w:pPr>
        <w:pStyle w:val="ListParagraph"/>
        <w:numPr>
          <w:ilvl w:val="0"/>
          <w:numId w:val="2"/>
        </w:numPr>
        <w:spacing w:after="40" w:before="40"/>
      </w:pPr>
      <w:r>
        <w:rPr>
          <w:rFonts w:ascii="Arial" w:cs="Arial" w:eastAsia="Arial" w:hAnsi="Arial"/>
          <w:color w:val="000000"/>
          <w:sz w:val="21"/>
          <w:szCs w:val="21"/>
        </w:rPr>
        <w:t xml:space="preserve">Direct employer control of visa without housing tether — different coercion structure</w:t>
      </w:r>
    </w:p>
    <w:p>
      <w:pPr>
        <w:pStyle w:val="ListParagraph"/>
        <w:numPr>
          <w:ilvl w:val="0"/>
          <w:numId w:val="2"/>
        </w:numPr>
        <w:spacing w:after="40" w:before="40"/>
      </w:pPr>
      <w:r>
        <w:rPr>
          <w:rFonts w:ascii="Arial" w:cs="Arial" w:eastAsia="Arial" w:hAnsi="Arial"/>
          <w:color w:val="000000"/>
          <w:sz w:val="21"/>
          <w:szCs w:val="21"/>
        </w:rPr>
        <w:t xml:space="preserve">In all top-15 occupations, certified wages below OEWS national average</w:t>
      </w:r>
    </w:p>
    <w:p>
      <w:pPr>
        <w:pStyle w:val="ListParagraph"/>
        <w:numPr>
          <w:ilvl w:val="0"/>
          <w:numId w:val="2"/>
        </w:numPr>
        <w:spacing w:after="40" w:before="40"/>
      </w:pPr>
      <w:r>
        <w:rPr>
          <w:rFonts w:ascii="Arial" w:cs="Arial" w:eastAsia="Arial" w:hAnsi="Arial"/>
          <w:color w:val="000000"/>
          <w:sz w:val="21"/>
          <w:szCs w:val="21"/>
        </w:rPr>
        <w:t xml:space="preserve">Forest workers: $15.51/hr vs. $20.59/hr national average (24.7% below)</w:t>
      </w:r>
    </w:p>
    <w:p>
      <w:pPr>
        <w:pStyle w:val="ListParagraph"/>
        <w:numPr>
          <w:ilvl w:val="0"/>
          <w:numId w:val="2"/>
        </w:numPr>
        <w:spacing w:after="40" w:before="40"/>
      </w:pPr>
      <w:r>
        <w:rPr>
          <w:rFonts w:ascii="Arial" w:cs="Arial" w:eastAsia="Arial" w:hAnsi="Arial"/>
          <w:color w:val="000000"/>
          <w:sz w:val="21"/>
          <w:szCs w:val="21"/>
        </w:rPr>
        <w:t xml:space="preserve">232-day average job duration — 'temporary' in name only</w:t>
      </w:r>
    </w:p>
    <w:p>
      <w:pPr>
        <w:spacing w:after="80" w:before="80"/>
      </w:pPr>
    </w:p>
    <w:p>
      <w:pPr>
        <w:pStyle w:val="Heading2"/>
        <w:spacing w:after="80" w:before="240"/>
      </w:pPr>
      <w:r>
        <w:rPr>
          <w:rFonts w:ascii="Arial" w:cs="Arial" w:eastAsia="Arial" w:hAnsi="Arial"/>
          <w:b/>
          <w:bCs/>
          <w:color w:val="1F3864"/>
          <w:sz w:val="26"/>
          <w:szCs w:val="26"/>
        </w:rPr>
        <w:t xml:space="preserve">H-2 American Impact Panel</w:t>
      </w:r>
    </w:p>
    <w:p>
      <w:pPr>
        <w:pStyle w:val="ListParagraph"/>
        <w:numPr>
          <w:ilvl w:val="0"/>
          <w:numId w:val="2"/>
        </w:numPr>
        <w:spacing w:after="40" w:before="40"/>
      </w:pPr>
      <w:r>
        <w:rPr>
          <w:rFonts w:ascii="Arial" w:cs="Arial" w:eastAsia="Arial" w:hAnsi="Arial"/>
          <w:color w:val="000000"/>
          <w:sz w:val="21"/>
          <w:szCs w:val="21"/>
        </w:rPr>
        <w:t xml:space="preserve">EPI: 2026 IFR wage cuts reduce U.S. farmworker wages $2.7–$3.3B annually (7.1–8.7%)</w:t>
      </w:r>
    </w:p>
    <w:p>
      <w:pPr>
        <w:pStyle w:val="ListParagraph"/>
        <w:numPr>
          <w:ilvl w:val="0"/>
          <w:numId w:val="2"/>
        </w:numPr>
        <w:spacing w:after="40" w:before="40"/>
      </w:pPr>
      <w:r>
        <w:rPr>
          <w:rFonts w:ascii="Arial" w:cs="Arial" w:eastAsia="Arial" w:hAnsi="Arial"/>
          <w:color w:val="000000"/>
          <w:sz w:val="21"/>
          <w:szCs w:val="21"/>
        </w:rPr>
        <w:t xml:space="preserve">DOL's own analysis: $785M transferred from H-2A workers to employers FY2025</w:t>
      </w:r>
    </w:p>
    <w:p>
      <w:pPr>
        <w:pStyle w:val="ListParagraph"/>
        <w:numPr>
          <w:ilvl w:val="0"/>
          <w:numId w:val="2"/>
        </w:numPr>
        <w:spacing w:after="40" w:before="40"/>
      </w:pPr>
      <w:r>
        <w:rPr>
          <w:rFonts w:ascii="Arial" w:cs="Arial" w:eastAsia="Arial" w:hAnsi="Arial"/>
          <w:color w:val="000000"/>
          <w:sz w:val="21"/>
          <w:szCs w:val="21"/>
        </w:rPr>
        <w:t xml:space="preserve">10% AEWR increase raises domestic farm wages only ~2.8% — suppression is structural</w:t>
      </w:r>
    </w:p>
    <w:p>
      <w:pPr>
        <w:pStyle w:val="ListParagraph"/>
        <w:numPr>
          <w:ilvl w:val="0"/>
          <w:numId w:val="2"/>
        </w:numPr>
        <w:spacing w:after="40" w:before="40"/>
      </w:pPr>
      <w:r>
        <w:rPr>
          <w:rFonts w:ascii="Arial" w:cs="Arial" w:eastAsia="Arial" w:hAnsi="Arial"/>
          <w:color w:val="000000"/>
          <w:sz w:val="21"/>
          <w:szCs w:val="21"/>
        </w:rPr>
        <w:t xml:space="preserve">UFW lawsuit E.D. Cal. 1:25-cv-01614 (Nov 2025): challenges wage rule cuts</w:t>
      </w:r>
    </w:p>
    <w:p>
      <w:pPr>
        <w:spacing w:after="80" w:before="80"/>
      </w:pPr>
    </w:p>
    <w:p>
      <w:pPr>
        <w:pBdr>
          <w:bottom w:val="single" w:color="1F3864" w:sz="6" w:space="1"/>
        </w:pBdr>
        <w:spacing w:after="100" w:before="100"/>
      </w:pPr>
    </w:p>
    <w:p>
      <w:pPr>
        <w:pStyle w:val="Heading1"/>
        <w:spacing w:after="120" w:before="360"/>
      </w:pPr>
      <w:r>
        <w:rPr>
          <w:rFonts w:ascii="Arial" w:cs="Arial" w:eastAsia="Arial" w:hAnsi="Arial"/>
          <w:b/>
          <w:bCs/>
          <w:color w:val="1F3864"/>
          <w:sz w:val="32"/>
          <w:szCs w:val="32"/>
        </w:rPr>
        <w:t xml:space="preserve">SECTION 10 — THE POLITICAL FLIP</w:t>
      </w:r>
    </w:p>
    <w:p>
      <w:pPr>
        <w:shd w:fill="FFE6E6" w:val="clear"/>
        <w:spacing w:after="80" w:before="80"/>
      </w:pPr>
      <w:r>
        <w:rPr>
          <w:rFonts w:ascii="Arial" w:cs="Arial" w:eastAsia="Arial" w:hAnsi="Arial"/>
          <w:b/>
          <w:bCs/>
          <w:color w:val="7B2C2C"/>
          <w:sz w:val="22"/>
          <w:szCs w:val="22"/>
        </w:rPr>
        <w:t xml:space="preserve">STATUS: Placeholder structure in place. Full content Phase 6. Research pending.</w:t>
      </w:r>
    </w:p>
    <w:p>
      <w:pPr>
        <w:spacing w:after="80" w:before="80"/>
      </w:pPr>
    </w:p>
    <w:p>
      <w:pPr>
        <w:pStyle w:val="Heading2"/>
        <w:spacing w:after="80" w:before="240"/>
      </w:pPr>
      <w:r>
        <w:rPr>
          <w:rFonts w:ascii="Arial" w:cs="Arial" w:eastAsia="Arial" w:hAnsi="Arial"/>
          <w:b/>
          <w:bCs/>
          <w:color w:val="1F3864"/>
          <w:sz w:val="26"/>
          <w:szCs w:val="26"/>
        </w:rPr>
        <w:t xml:space="preserve">Core Argument</w:t>
      </w:r>
    </w:p>
    <w:p>
      <w:pPr>
        <w:spacing w:after="60" w:before="60"/>
      </w:pPr>
      <w:r>
        <w:rPr>
          <w:rFonts w:ascii="Arial" w:cs="Arial" w:eastAsia="Arial" w:hAnsi="Arial"/>
          <w:sz w:val="22"/>
          <w:szCs w:val="22"/>
        </w:rPr>
        <w:t xml:space="preserve">The problem was never left vs. right. Both sides switch positions when it benefits the same donor class. Sanders was anti-H-1B for years. The GOP establishment was pro-visa expansion. Positions have inverted. In both configurations, the workers — foreign and domestic — absorb the cost while the asset managers collect the returns.</w:t>
      </w:r>
    </w:p>
    <w:p>
      <w:pPr>
        <w:pStyle w:val="Heading2"/>
        <w:spacing w:after="80" w:before="240"/>
      </w:pPr>
      <w:r>
        <w:rPr>
          <w:rFonts w:ascii="Arial" w:cs="Arial" w:eastAsia="Arial" w:hAnsi="Arial"/>
          <w:b/>
          <w:bCs/>
          <w:color w:val="1F3864"/>
          <w:sz w:val="26"/>
          <w:szCs w:val="26"/>
        </w:rPr>
        <w:t xml:space="preserve">What We Have (Verified)</w:t>
      </w:r>
    </w:p>
    <w:p>
      <w:pPr>
        <w:pStyle w:val="ListParagraph"/>
        <w:numPr>
          <w:ilvl w:val="0"/>
          <w:numId w:val="2"/>
        </w:numPr>
        <w:spacing w:after="40" w:before="40"/>
      </w:pPr>
      <w:r>
        <w:rPr>
          <w:rFonts w:ascii="Arial" w:cs="Arial" w:eastAsia="Arial" w:hAnsi="Arial"/>
          <w:color w:val="000000"/>
          <w:sz w:val="21"/>
          <w:szCs w:val="21"/>
        </w:rPr>
        <w:t xml:space="preserve">Sanders Op-Ed January 2025: 85,000 American layoffs, 34,000 H-1B hires at same companies</w:t>
      </w:r>
    </w:p>
    <w:p>
      <w:pPr>
        <w:pStyle w:val="ListParagraph"/>
        <w:numPr>
          <w:ilvl w:val="0"/>
          <w:numId w:val="2"/>
        </w:numPr>
        <w:spacing w:after="40" w:before="40"/>
      </w:pPr>
      <w:r>
        <w:rPr>
          <w:rFonts w:ascii="Arial" w:cs="Arial" w:eastAsia="Arial" w:hAnsi="Arial"/>
          <w:color w:val="000000"/>
          <w:sz w:val="21"/>
          <w:szCs w:val="21"/>
        </w:rPr>
        <w:t xml:space="preserve">S.2928 Grassley-Durbin (Sep 2025): bipartisan with Sanders AND Tuberville cosponsors</w:t>
      </w:r>
    </w:p>
    <w:p>
      <w:pPr>
        <w:pStyle w:val="ListParagraph"/>
        <w:numPr>
          <w:ilvl w:val="0"/>
          <w:numId w:val="2"/>
        </w:numPr>
        <w:spacing w:after="40" w:before="40"/>
      </w:pPr>
      <w:r>
        <w:rPr>
          <w:rFonts w:ascii="Arial" w:cs="Arial" w:eastAsia="Arial" w:hAnsi="Arial"/>
          <w:color w:val="000000"/>
          <w:sz w:val="21"/>
          <w:szCs w:val="21"/>
        </w:rPr>
        <w:t xml:space="preserve">All four major tech sponsors split PAC 50/50 Dem/Rep — bipartisan access</w:t>
      </w:r>
    </w:p>
    <w:p>
      <w:pPr>
        <w:pStyle w:val="ListParagraph"/>
        <w:numPr>
          <w:ilvl w:val="0"/>
          <w:numId w:val="2"/>
        </w:numPr>
        <w:spacing w:after="40" w:before="40"/>
      </w:pPr>
      <w:r>
        <w:rPr>
          <w:rFonts w:ascii="Arial" w:cs="Arial" w:eastAsia="Arial" w:hAnsi="Arial"/>
          <w:color w:val="000000"/>
          <w:sz w:val="21"/>
          <w:szCs w:val="21"/>
        </w:rPr>
        <w:t xml:space="preserve">All four donated $1M each to Trump 2025 inaugural — while employees give 77–90% to Democrats</w:t>
      </w:r>
    </w:p>
    <w:p>
      <w:pPr>
        <w:pStyle w:val="ListParagraph"/>
        <w:numPr>
          <w:ilvl w:val="0"/>
          <w:numId w:val="2"/>
        </w:numPr>
        <w:spacing w:after="40" w:before="40"/>
      </w:pPr>
      <w:r>
        <w:rPr>
          <w:rFonts w:ascii="Arial" w:cs="Arial" w:eastAsia="Arial" w:hAnsi="Arial"/>
          <w:color w:val="000000"/>
          <w:sz w:val="21"/>
          <w:szCs w:val="21"/>
        </w:rPr>
        <w:t xml:space="preserve">Trump 2025–2026: $100k fee, weighted lottery, raised wage floors — MAGA anti-H-1B shift</w:t>
      </w:r>
    </w:p>
    <w:p>
      <w:pPr>
        <w:pStyle w:val="ListParagraph"/>
        <w:numPr>
          <w:ilvl w:val="0"/>
          <w:numId w:val="2"/>
        </w:numPr>
        <w:spacing w:after="40" w:before="40"/>
      </w:pPr>
      <w:r>
        <w:rPr>
          <w:rFonts w:ascii="Arial" w:cs="Arial" w:eastAsia="Arial" w:hAnsi="Arial"/>
          <w:color w:val="000000"/>
          <w:sz w:val="21"/>
          <w:szCs w:val="21"/>
        </w:rPr>
        <w:t xml:space="preserve">Tech billionaire wing (Musk et al.): publicly pro-H-1B expansion late 2024 — intra-GOP split</w:t>
      </w:r>
    </w:p>
    <w:p>
      <w:pPr>
        <w:pStyle w:val="Heading2"/>
        <w:spacing w:after="80" w:before="240"/>
      </w:pPr>
      <w:r>
        <w:rPr>
          <w:rFonts w:ascii="Arial" w:cs="Arial" w:eastAsia="Arial" w:hAnsi="Arial"/>
          <w:b/>
          <w:bCs/>
          <w:color w:val="1F3864"/>
          <w:sz w:val="26"/>
          <w:szCs w:val="26"/>
        </w:rPr>
        <w:t xml:space="preserve">Research Still Needed</w:t>
      </w:r>
    </w:p>
    <w:p>
      <w:pPr>
        <w:pStyle w:val="ListParagraph"/>
        <w:numPr>
          <w:ilvl w:val="0"/>
          <w:numId w:val="2"/>
        </w:numPr>
        <w:spacing w:after="40" w:before="40"/>
      </w:pPr>
      <w:r>
        <w:rPr>
          <w:rFonts w:ascii="Arial" w:cs="Arial" w:eastAsia="Arial" w:hAnsi="Arial"/>
          <w:color w:val="000000"/>
          <w:sz w:val="21"/>
          <w:szCs w:val="21"/>
        </w:rPr>
        <w:t xml:space="preserve">⚑ Congressional vote records on H-1B/H-2 expansion — specific roll calls with party breakdowns</w:t>
      </w:r>
    </w:p>
    <w:p>
      <w:pPr>
        <w:pStyle w:val="ListParagraph"/>
        <w:numPr>
          <w:ilvl w:val="0"/>
          <w:numId w:val="2"/>
        </w:numPr>
        <w:spacing w:after="40" w:before="40"/>
      </w:pPr>
      <w:r>
        <w:rPr>
          <w:rFonts w:ascii="Arial" w:cs="Arial" w:eastAsia="Arial" w:hAnsi="Arial"/>
          <w:color w:val="000000"/>
          <w:sz w:val="21"/>
          <w:szCs w:val="21"/>
        </w:rPr>
        <w:t xml:space="preserve">⚑ Donor tracking data — OpenSecrets by party and year</w:t>
      </w:r>
    </w:p>
    <w:p>
      <w:pPr>
        <w:pStyle w:val="ListParagraph"/>
        <w:numPr>
          <w:ilvl w:val="0"/>
          <w:numId w:val="2"/>
        </w:numPr>
        <w:spacing w:after="40" w:before="40"/>
      </w:pPr>
      <w:r>
        <w:rPr>
          <w:rFonts w:ascii="Arial" w:cs="Arial" w:eastAsia="Arial" w:hAnsi="Arial"/>
          <w:color w:val="000000"/>
          <w:sz w:val="21"/>
          <w:szCs w:val="21"/>
        </w:rPr>
        <w:t xml:space="preserve">⚑ Exact quotes with dates from key legislators (Sanders, Grassley, Durbin, Musk, GOP pre-2016)</w:t>
      </w:r>
    </w:p>
    <w:p>
      <w:pPr>
        <w:pStyle w:val="ListParagraph"/>
        <w:numPr>
          <w:ilvl w:val="0"/>
          <w:numId w:val="2"/>
        </w:numPr>
        <w:spacing w:after="40" w:before="40"/>
      </w:pPr>
      <w:r>
        <w:rPr>
          <w:rFonts w:ascii="Arial" w:cs="Arial" w:eastAsia="Arial" w:hAnsi="Arial"/>
          <w:color w:val="000000"/>
          <w:sz w:val="21"/>
          <w:szCs w:val="21"/>
        </w:rPr>
        <w:t xml:space="preserve">⚑ Party platform language 2008, 2012, 2016, 2020, 2024</w:t>
      </w:r>
    </w:p>
    <w:p>
      <w:pPr>
        <w:pStyle w:val="ListParagraph"/>
        <w:numPr>
          <w:ilvl w:val="0"/>
          <w:numId w:val="2"/>
        </w:numPr>
        <w:spacing w:after="40" w:before="40"/>
      </w:pPr>
      <w:r>
        <w:rPr>
          <w:rFonts w:ascii="Arial" w:cs="Arial" w:eastAsia="Arial" w:hAnsi="Arial"/>
          <w:color w:val="000000"/>
          <w:sz w:val="21"/>
          <w:szCs w:val="21"/>
        </w:rPr>
        <w:t xml:space="preserve">⚑ Pew Research polling data — immigration views by party and year</w:t>
      </w:r>
    </w:p>
    <w:p>
      <w:pPr>
        <w:spacing w:after="80" w:before="80"/>
      </w:pPr>
    </w:p>
    <w:p>
      <w:pPr>
        <w:pBdr>
          <w:bottom w:val="single" w:color="1F3864" w:sz="6" w:space="1"/>
        </w:pBdr>
        <w:spacing w:after="100" w:before="100"/>
      </w:pPr>
    </w:p>
    <w:p>
      <w:pPr>
        <w:pStyle w:val="Heading1"/>
        <w:spacing w:after="120" w:before="360"/>
      </w:pPr>
      <w:r>
        <w:rPr>
          <w:rFonts w:ascii="Arial" w:cs="Arial" w:eastAsia="Arial" w:hAnsi="Arial"/>
          <w:b/>
          <w:bCs/>
          <w:color w:val="1F3864"/>
          <w:sz w:val="32"/>
          <w:szCs w:val="32"/>
        </w:rPr>
        <w:t xml:space="preserve">SECTION 11 — SEE MY WORK (SOURCES)</w:t>
      </w:r>
    </w:p>
    <w:p>
      <w:pPr>
        <w:pStyle w:val="Heading2"/>
        <w:spacing w:after="80" w:before="240"/>
      </w:pPr>
      <w:r>
        <w:rPr>
          <w:rFonts w:ascii="Arial" w:cs="Arial" w:eastAsia="Arial" w:hAnsi="Arial"/>
          <w:b/>
          <w:bCs/>
          <w:color w:val="1F3864"/>
          <w:sz w:val="26"/>
          <w:szCs w:val="26"/>
        </w:rPr>
        <w:t xml:space="preserve">Reference Documents</w:t>
      </w:r>
    </w:p>
    <w:p>
      <w:pPr>
        <w:pStyle w:val="ListParagraph"/>
        <w:numPr>
          <w:ilvl w:val="0"/>
          <w:numId w:val="2"/>
        </w:numPr>
        <w:spacing w:after="40" w:before="40"/>
      </w:pPr>
      <w:r>
        <w:rPr>
          <w:rFonts w:ascii="Arial" w:cs="Arial" w:eastAsia="Arial" w:hAnsi="Arial"/>
          <w:color w:val="000000"/>
          <w:sz w:val="21"/>
          <w:szCs w:val="21"/>
        </w:rPr>
        <w:t xml:space="preserve">Visa_Project_Outline_v10.docx — this document</w:t>
      </w:r>
    </w:p>
    <w:p>
      <w:pPr>
        <w:pStyle w:val="ListParagraph"/>
        <w:numPr>
          <w:ilvl w:val="0"/>
          <w:numId w:val="2"/>
        </w:numPr>
        <w:spacing w:after="40" w:before="40"/>
      </w:pPr>
      <w:r>
        <w:rPr>
          <w:rFonts w:ascii="Arial" w:cs="Arial" w:eastAsia="Arial" w:hAnsi="Arial"/>
          <w:color w:val="000000"/>
          <w:sz w:val="21"/>
          <w:szCs w:val="21"/>
        </w:rPr>
        <w:t xml:space="preserve">Visa_Incentive_Machine_Master_Research_v2.docx — 16-chapter thematic research synthesis (all sources)</w:t>
      </w:r>
    </w:p>
    <w:p>
      <w:pPr>
        <w:pStyle w:val="ListParagraph"/>
        <w:numPr>
          <w:ilvl w:val="0"/>
          <w:numId w:val="2"/>
        </w:numPr>
        <w:spacing w:after="40" w:before="40"/>
      </w:pPr>
      <w:r>
        <w:rPr>
          <w:rFonts w:ascii="Arial" w:cs="Arial" w:eastAsia="Arial" w:hAnsi="Arial"/>
          <w:color w:val="000000"/>
          <w:sz w:val="21"/>
          <w:szCs w:val="21"/>
        </w:rPr>
        <w:t xml:space="preserve">Visa_Machine_Group_Classification_Flow_Map.docx — node/edge definitions and flow map</w:t>
      </w:r>
    </w:p>
    <w:p>
      <w:pPr>
        <w:pStyle w:val="ListParagraph"/>
        <w:numPr>
          <w:ilvl w:val="0"/>
          <w:numId w:val="2"/>
        </w:numPr>
        <w:spacing w:after="40" w:before="40"/>
      </w:pPr>
      <w:r>
        <w:rPr>
          <w:rFonts w:ascii="Arial" w:cs="Arial" w:eastAsia="Arial" w:hAnsi="Arial"/>
          <w:color w:val="000000"/>
          <w:sz w:val="21"/>
          <w:szCs w:val="21"/>
        </w:rPr>
        <w:t xml:space="preserve">VISA_MACHINE_DIAGRAM_SPEC.md — machine-readable Claude Code build spec</w:t>
      </w:r>
    </w:p>
    <w:p>
      <w:pPr>
        <w:spacing w:after="80" w:before="80"/>
      </w:pPr>
    </w:p>
    <w:p>
      <w:pPr>
        <w:pStyle w:val="Heading2"/>
        <w:spacing w:after="80" w:before="240"/>
      </w:pPr>
      <w:r>
        <w:rPr>
          <w:rFonts w:ascii="Arial" w:cs="Arial" w:eastAsia="Arial" w:hAnsi="Arial"/>
          <w:b/>
          <w:bCs/>
          <w:color w:val="1F3864"/>
          <w:sz w:val="26"/>
          <w:szCs w:val="26"/>
        </w:rPr>
        <w:t xml:space="preserve">Primary Sources (Selected)</w:t>
      </w:r>
    </w:p>
    <w:p>
      <w:pPr>
        <w:pStyle w:val="ListParagraph"/>
        <w:numPr>
          <w:ilvl w:val="0"/>
          <w:numId w:val="2"/>
        </w:numPr>
        <w:spacing w:after="40" w:before="40"/>
      </w:pPr>
      <w:r>
        <w:rPr>
          <w:rFonts w:ascii="Arial" w:cs="Arial" w:eastAsia="Arial" w:hAnsi="Arial"/>
          <w:color w:val="000000"/>
          <w:sz w:val="21"/>
          <w:szCs w:val="21"/>
        </w:rPr>
        <w:t xml:space="preserve">USCIS H-1B Employer Data Hub (FY2009–FY2026 Q1)</w:t>
      </w:r>
    </w:p>
    <w:p>
      <w:pPr>
        <w:pStyle w:val="ListParagraph"/>
        <w:numPr>
          <w:ilvl w:val="0"/>
          <w:numId w:val="2"/>
        </w:numPr>
        <w:spacing w:after="40" w:before="40"/>
      </w:pPr>
      <w:r>
        <w:rPr>
          <w:rFonts w:ascii="Arial" w:cs="Arial" w:eastAsia="Arial" w:hAnsi="Arial"/>
          <w:color w:val="000000"/>
          <w:sz w:val="21"/>
          <w:szCs w:val="21"/>
        </w:rPr>
        <w:t xml:space="preserve">USCIS FY2025 H-1B Petitions Report</w:t>
      </w:r>
    </w:p>
    <w:p>
      <w:pPr>
        <w:pStyle w:val="ListParagraph"/>
        <w:numPr>
          <w:ilvl w:val="0"/>
          <w:numId w:val="2"/>
        </w:numPr>
        <w:spacing w:after="40" w:before="40"/>
      </w:pPr>
      <w:r>
        <w:rPr>
          <w:rFonts w:ascii="Arial" w:cs="Arial" w:eastAsia="Arial" w:hAnsi="Arial"/>
          <w:color w:val="000000"/>
          <w:sz w:val="21"/>
          <w:szCs w:val="21"/>
        </w:rPr>
        <w:t xml:space="preserve">DOL OFLC H-2A/H-2B Selected Statistics FY2025 Q4 + FY2026 Q1</w:t>
      </w:r>
    </w:p>
    <w:p>
      <w:pPr>
        <w:pStyle w:val="ListParagraph"/>
        <w:numPr>
          <w:ilvl w:val="0"/>
          <w:numId w:val="2"/>
        </w:numPr>
        <w:spacing w:after="40" w:before="40"/>
      </w:pPr>
      <w:r>
        <w:rPr>
          <w:rFonts w:ascii="Arial" w:cs="Arial" w:eastAsia="Arial" w:hAnsi="Arial"/>
          <w:color w:val="000000"/>
          <w:sz w:val="21"/>
          <w:szCs w:val="21"/>
        </w:rPr>
        <w:t xml:space="preserve">NBER Working Paper w34793 (Feb 2026) — 16% wage gap</w:t>
      </w:r>
    </w:p>
    <w:p>
      <w:pPr>
        <w:pStyle w:val="ListParagraph"/>
        <w:numPr>
          <w:ilvl w:val="0"/>
          <w:numId w:val="2"/>
        </w:numPr>
        <w:spacing w:after="40" w:before="40"/>
      </w:pPr>
      <w:r>
        <w:rPr>
          <w:rFonts w:ascii="Arial" w:cs="Arial" w:eastAsia="Arial" w:hAnsi="Arial"/>
          <w:color w:val="000000"/>
          <w:sz w:val="21"/>
          <w:szCs w:val="21"/>
        </w:rPr>
        <w:t xml:space="preserve">GAO-25-106389 (Nov 2024) — H-2A enforcement</w:t>
      </w:r>
    </w:p>
    <w:p>
      <w:pPr>
        <w:pStyle w:val="ListParagraph"/>
        <w:numPr>
          <w:ilvl w:val="0"/>
          <w:numId w:val="2"/>
        </w:numPr>
        <w:spacing w:after="40" w:before="40"/>
      </w:pPr>
      <w:r>
        <w:rPr>
          <w:rFonts w:ascii="Arial" w:cs="Arial" w:eastAsia="Arial" w:hAnsi="Arial"/>
          <w:color w:val="000000"/>
          <w:sz w:val="21"/>
          <w:szCs w:val="21"/>
        </w:rPr>
        <w:t xml:space="preserve">EPI — H-1B wage theft, AEWR analysis, H-2B report (Sep 2025)</w:t>
      </w:r>
    </w:p>
    <w:p>
      <w:pPr>
        <w:pStyle w:val="ListParagraph"/>
        <w:numPr>
          <w:ilvl w:val="0"/>
          <w:numId w:val="2"/>
        </w:numPr>
        <w:spacing w:after="40" w:before="40"/>
      </w:pPr>
      <w:r>
        <w:rPr>
          <w:rFonts w:ascii="Arial" w:cs="Arial" w:eastAsia="Arial" w:hAnsi="Arial"/>
          <w:color w:val="000000"/>
          <w:sz w:val="21"/>
          <w:szCs w:val="21"/>
        </w:rPr>
        <w:t xml:space="preserve">ProPublica 2025–2026 — H-2A exploitation, Operation Blooming Onion</w:t>
      </w:r>
    </w:p>
    <w:p>
      <w:pPr>
        <w:pStyle w:val="ListParagraph"/>
        <w:numPr>
          <w:ilvl w:val="0"/>
          <w:numId w:val="2"/>
        </w:numPr>
        <w:spacing w:after="40" w:before="40"/>
      </w:pPr>
      <w:r>
        <w:rPr>
          <w:rFonts w:ascii="Arial" w:cs="Arial" w:eastAsia="Arial" w:hAnsi="Arial"/>
          <w:color w:val="000000"/>
          <w:sz w:val="21"/>
          <w:szCs w:val="21"/>
        </w:rPr>
        <w:t xml:space="preserve">Polaris Project — H-2A/H-2B trafficking reports</w:t>
      </w:r>
    </w:p>
    <w:p>
      <w:pPr>
        <w:pStyle w:val="ListParagraph"/>
        <w:numPr>
          <w:ilvl w:val="0"/>
          <w:numId w:val="2"/>
        </w:numPr>
        <w:spacing w:after="40" w:before="40"/>
      </w:pPr>
      <w:r>
        <w:rPr>
          <w:rFonts w:ascii="Arial" w:cs="Arial" w:eastAsia="Arial" w:hAnsi="Arial"/>
          <w:color w:val="000000"/>
          <w:sz w:val="21"/>
          <w:szCs w:val="21"/>
        </w:rPr>
        <w:t xml:space="preserve">BlackRock Q1 2026 earnings — $13.89T AUM</w:t>
      </w:r>
    </w:p>
    <w:p>
      <w:pPr>
        <w:pStyle w:val="ListParagraph"/>
        <w:numPr>
          <w:ilvl w:val="0"/>
          <w:numId w:val="2"/>
        </w:numPr>
        <w:spacing w:after="40" w:before="40"/>
      </w:pPr>
      <w:r>
        <w:rPr>
          <w:rFonts w:ascii="Arial" w:cs="Arial" w:eastAsia="Arial" w:hAnsi="Arial"/>
          <w:color w:val="000000"/>
          <w:sz w:val="21"/>
          <w:szCs w:val="21"/>
        </w:rPr>
        <w:t xml:space="preserve">ICI 2025 — 128M investors, 56.4% of U.S. households</w:t>
      </w:r>
    </w:p>
    <w:p>
      <w:pPr>
        <w:pStyle w:val="ListParagraph"/>
        <w:numPr>
          <w:ilvl w:val="0"/>
          <w:numId w:val="2"/>
        </w:numPr>
        <w:spacing w:after="40" w:before="40"/>
      </w:pPr>
      <w:r>
        <w:rPr>
          <w:rFonts w:ascii="Arial" w:cs="Arial" w:eastAsia="Arial" w:hAnsi="Arial"/>
          <w:color w:val="000000"/>
          <w:sz w:val="21"/>
          <w:szCs w:val="21"/>
        </w:rPr>
        <w:t xml:space="preserve">SEC 13F filings Q4 2025 — Big Three ownership stakes</w:t>
      </w:r>
    </w:p>
    <w:p>
      <w:pPr>
        <w:pStyle w:val="ListParagraph"/>
        <w:numPr>
          <w:ilvl w:val="0"/>
          <w:numId w:val="2"/>
        </w:numPr>
        <w:spacing w:after="40" w:before="40"/>
      </w:pPr>
      <w:r>
        <w:rPr>
          <w:rFonts w:ascii="Arial" w:cs="Arial" w:eastAsia="Arial" w:hAnsi="Arial"/>
          <w:color w:val="000000"/>
          <w:sz w:val="21"/>
          <w:szCs w:val="21"/>
        </w:rPr>
        <w:t xml:space="preserve">PESP 'Betting the Farm' (March 2025) — PE in agriculture</w:t>
      </w:r>
    </w:p>
    <w:p>
      <w:pPr>
        <w:pStyle w:val="ListParagraph"/>
        <w:numPr>
          <w:ilvl w:val="0"/>
          <w:numId w:val="2"/>
        </w:numPr>
        <w:spacing w:after="40" w:before="40"/>
      </w:pPr>
      <w:r>
        <w:rPr>
          <w:rFonts w:ascii="Arial" w:cs="Arial" w:eastAsia="Arial" w:hAnsi="Arial"/>
          <w:color w:val="000000"/>
          <w:sz w:val="21"/>
          <w:szCs w:val="21"/>
        </w:rPr>
        <w:t xml:space="preserve">OpenSecrets 2025 — lobbying, PAC contributions, inaugural donors</w:t>
      </w:r>
    </w:p>
    <w:p>
      <w:pPr>
        <w:pStyle w:val="ListParagraph"/>
        <w:numPr>
          <w:ilvl w:val="0"/>
          <w:numId w:val="2"/>
        </w:numPr>
        <w:spacing w:after="40" w:before="40"/>
      </w:pPr>
      <w:r>
        <w:rPr>
          <w:rFonts w:ascii="Arial" w:cs="Arial" w:eastAsia="Arial" w:hAnsi="Arial"/>
          <w:color w:val="000000"/>
          <w:sz w:val="21"/>
          <w:szCs w:val="21"/>
        </w:rPr>
        <w:t xml:space="preserve">DOJ Compunnel settlement (April 2026)</w:t>
      </w:r>
    </w:p>
    <w:p>
      <w:pPr>
        <w:pStyle w:val="ListParagraph"/>
        <w:numPr>
          <w:ilvl w:val="0"/>
          <w:numId w:val="2"/>
        </w:numPr>
        <w:spacing w:after="40" w:before="40"/>
      </w:pPr>
      <w:r>
        <w:rPr>
          <w:rFonts w:ascii="Arial" w:cs="Arial" w:eastAsia="Arial" w:hAnsi="Arial"/>
          <w:color w:val="000000"/>
          <w:sz w:val="21"/>
          <w:szCs w:val="21"/>
        </w:rPr>
        <w:t xml:space="preserve">DOL Project Firewall (Sep 2025)</w:t>
      </w:r>
    </w:p>
    <w:p>
      <w:pPr>
        <w:pStyle w:val="ListParagraph"/>
        <w:numPr>
          <w:ilvl w:val="0"/>
          <w:numId w:val="2"/>
        </w:numPr>
        <w:spacing w:after="40" w:before="40"/>
      </w:pPr>
      <w:r>
        <w:rPr>
          <w:rFonts w:ascii="Arial" w:cs="Arial" w:eastAsia="Arial" w:hAnsi="Arial"/>
          <w:color w:val="000000"/>
          <w:sz w:val="21"/>
          <w:szCs w:val="21"/>
        </w:rPr>
        <w:t xml:space="preserve">DOL NPRM March 2026 — prevailing wage reform</w:t>
      </w:r>
    </w:p>
    <w:p>
      <w:pPr>
        <w:spacing w:after="80" w:before="80"/>
      </w:pPr>
    </w:p>
    <w:p>
      <w:pPr>
        <w:pStyle w:val="Heading2"/>
        <w:spacing w:after="80" w:before="240"/>
      </w:pPr>
      <w:r>
        <w:rPr>
          <w:rFonts w:ascii="Arial" w:cs="Arial" w:eastAsia="Arial" w:hAnsi="Arial"/>
          <w:b/>
          <w:bCs/>
          <w:color w:val="1F3864"/>
          <w:sz w:val="26"/>
          <w:szCs w:val="26"/>
        </w:rPr>
        <w:t xml:space="preserve">Pending Research</w:t>
      </w:r>
    </w:p>
    <w:p>
      <w:pPr>
        <w:pStyle w:val="ListParagraph"/>
        <w:numPr>
          <w:ilvl w:val="0"/>
          <w:numId w:val="2"/>
        </w:numPr>
        <w:spacing w:after="40" w:before="40"/>
      </w:pPr>
      <w:r>
        <w:rPr>
          <w:rFonts w:ascii="Arial" w:cs="Arial" w:eastAsia="Arial" w:hAnsi="Arial"/>
          <w:color w:val="000000"/>
          <w:sz w:val="21"/>
          <w:szCs w:val="21"/>
        </w:rPr>
        <w:t xml:space="preserve">⚑ SEC 13F — confirm exact Big Three cross-ownership percentages</w:t>
      </w:r>
    </w:p>
    <w:p>
      <w:pPr>
        <w:pStyle w:val="ListParagraph"/>
        <w:numPr>
          <w:ilvl w:val="0"/>
          <w:numId w:val="2"/>
        </w:numPr>
        <w:spacing w:after="40" w:before="40"/>
      </w:pPr>
      <w:r>
        <w:rPr>
          <w:rFonts w:ascii="Arial" w:cs="Arial" w:eastAsia="Arial" w:hAnsi="Arial"/>
          <w:color w:val="000000"/>
          <w:sz w:val="21"/>
          <w:szCs w:val="21"/>
        </w:rPr>
        <w:t xml:space="preserve">⚑ AUM discrepancy: &gt;$26T vs. past $30T — verify Q1 2026 Vanguard/State Street</w:t>
      </w:r>
    </w:p>
    <w:p>
      <w:pPr>
        <w:pStyle w:val="ListParagraph"/>
        <w:numPr>
          <w:ilvl w:val="0"/>
          <w:numId w:val="2"/>
        </w:numPr>
        <w:spacing w:after="40" w:before="40"/>
      </w:pPr>
      <w:r>
        <w:rPr>
          <w:rFonts w:ascii="Arial" w:cs="Arial" w:eastAsia="Arial" w:hAnsi="Arial"/>
          <w:color w:val="000000"/>
          <w:sz w:val="21"/>
          <w:szCs w:val="21"/>
        </w:rPr>
        <w:t xml:space="preserve">⚑ BlackRock as H-1B sponsor (125 petitions FY2025) — verify before hardcoding</w:t>
      </w:r>
    </w:p>
    <w:p>
      <w:pPr>
        <w:pStyle w:val="ListParagraph"/>
        <w:numPr>
          <w:ilvl w:val="0"/>
          <w:numId w:val="2"/>
        </w:numPr>
        <w:spacing w:after="40" w:before="40"/>
      </w:pPr>
      <w:r>
        <w:rPr>
          <w:rFonts w:ascii="Arial" w:cs="Arial" w:eastAsia="Arial" w:hAnsi="Arial"/>
          <w:color w:val="000000"/>
          <w:sz w:val="21"/>
          <w:szCs w:val="21"/>
        </w:rPr>
        <w:t xml:space="preserve">⚑ DOL PERM/LCA audit rate statistics</w:t>
      </w:r>
    </w:p>
    <w:p>
      <w:pPr>
        <w:pStyle w:val="ListParagraph"/>
        <w:numPr>
          <w:ilvl w:val="0"/>
          <w:numId w:val="2"/>
        </w:numPr>
        <w:spacing w:after="40" w:before="40"/>
      </w:pPr>
      <w:r>
        <w:rPr>
          <w:rFonts w:ascii="Arial" w:cs="Arial" w:eastAsia="Arial" w:hAnsi="Arial"/>
          <w:color w:val="000000"/>
          <w:sz w:val="21"/>
          <w:szCs w:val="21"/>
        </w:rPr>
        <w:t xml:space="preserve">⚑ H-2A worker return-rate statistics (raw Excel pivot on DOL OFLC disclosure files)</w:t>
      </w:r>
    </w:p>
    <w:p>
      <w:pPr>
        <w:pStyle w:val="ListParagraph"/>
        <w:numPr>
          <w:ilvl w:val="0"/>
          <w:numId w:val="2"/>
        </w:numPr>
        <w:spacing w:after="40" w:before="40"/>
      </w:pPr>
      <w:r>
        <w:rPr>
          <w:rFonts w:ascii="Arial" w:cs="Arial" w:eastAsia="Arial" w:hAnsi="Arial"/>
          <w:color w:val="000000"/>
          <w:sz w:val="21"/>
          <w:szCs w:val="21"/>
        </w:rPr>
        <w:t xml:space="preserve">⚑ Phase 6 political flip research (see Section 10)</w:t>
      </w:r>
    </w:p>
    <w:p>
      <w:pPr>
        <w:spacing w:after="80" w:before="80"/>
      </w:pPr>
    </w:p>
    <w:p>
      <w:pPr>
        <w:pBdr>
          <w:bottom w:val="single" w:color="1F3864" w:sz="6" w:space="1"/>
        </w:pBdr>
        <w:spacing w:after="100" w:before="100"/>
      </w:pPr>
    </w:p>
    <w:p>
      <w:pPr>
        <w:pStyle w:val="Heading1"/>
        <w:spacing w:after="120" w:before="360"/>
      </w:pPr>
      <w:r>
        <w:rPr>
          <w:rFonts w:ascii="Arial" w:cs="Arial" w:eastAsia="Arial" w:hAnsi="Arial"/>
          <w:b/>
          <w:bCs/>
          <w:color w:val="1F3864"/>
          <w:sz w:val="32"/>
          <w:szCs w:val="32"/>
        </w:rPr>
        <w:t xml:space="preserve">PHASE COMPLETION STATUS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8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3864"/>
                <w:sz w:val="20"/>
                <w:szCs w:val="20"/>
              </w:rPr>
              <w:t xml:space="preserve">Phase 1 — Shell &amp; Architecture</w:t>
            </w:r>
          </w:p>
        </w:tc>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375623"/>
                <w:sz w:val="20"/>
                <w:szCs w:val="20"/>
              </w:rPr>
              <w:t xml:space="preserve">✓ Complete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Static site on GitHub Pages. Platform landing page live. Nav structure in place.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3864"/>
                <w:sz w:val="20"/>
                <w:szCs w:val="20"/>
              </w:rPr>
              <w:t xml:space="preserve">Phase 2 — Asset Managers</w:t>
            </w:r>
          </w:p>
        </w:tc>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375623"/>
                <w:sz w:val="20"/>
                <w:szCs w:val="20"/>
              </w:rPr>
              <w:t xml:space="preserve">✓ Substantially Complete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written, sources verified. AUM discrepancy and BlackRock-as-sponsor pending verification. Label updated to 'The Big Three Asset Managers.'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3864"/>
                <w:sz w:val="20"/>
                <w:szCs w:val="20"/>
              </w:rPr>
              <w:t xml:space="preserve">Phase 3a — H-1B Visa</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7F6000"/>
                <w:sz w:val="20"/>
                <w:szCs w:val="20"/>
              </w:rPr>
              <w:t xml:space="preserve">🔶 Partial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Scale, wage, rubber-stamp, dependency data verified. Cap history 1992–2026 complete. BLS STEM data complete. Approval trend chart pending build.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3864"/>
                <w:sz w:val="20"/>
                <w:szCs w:val="20"/>
              </w:rPr>
              <w:t xml:space="preserve">Phase 3b — H-2 Visa</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7F6000"/>
                <w:sz w:val="20"/>
                <w:szCs w:val="20"/>
              </w:rPr>
              <w:t xml:space="preserve">🔶 Partial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H-2A and H-2B now SPLIT into separate data streams throughout. H-2B research substantially complete. FLC repositioning below farms locked.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3864"/>
                <w:sz w:val="20"/>
                <w:szCs w:val="20"/>
              </w:rPr>
              <w:t xml:space="preserve">Phase 4 — Corporate Layer</w:t>
            </w:r>
          </w:p>
        </w:tc>
        <w:tc>
          <w:tcPr>
            <w:tcW w:type="dxa" w:w="1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375623"/>
                <w:sz w:val="20"/>
                <w:szCs w:val="20"/>
              </w:rPr>
              <w:t xml:space="preserve">✓ Research Complete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09-A through 09-M subsections verified (ownership, federal contracts, subsidies, tax, lobbying, PAC, inaugural, layoffs vs H-1B, job types, TCS scheme, narrative infrastructure, PE chain). Build pending.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3864"/>
                <w:sz w:val="20"/>
                <w:szCs w:val="20"/>
              </w:rPr>
              <w:t xml:space="preserve">Phase 5 — Dichotomy of Truth</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7F6000"/>
                <w:sz w:val="20"/>
                <w:szCs w:val="20"/>
              </w:rPr>
              <w:t xml:space="preserve">🔶 Partial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Four panels populated. H-2A and H-2B now separated. Chain node labels updated.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3864"/>
                <w:sz w:val="20"/>
                <w:szCs w:val="20"/>
              </w:rPr>
              <w:t xml:space="preserve">Phase 5b — Diagram Build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95959"/>
                <w:sz w:val="20"/>
                <w:szCs w:val="20"/>
              </w:rPr>
              <w:t xml:space="preserve">⬜ Pending — Claude Code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 written. Hand VISA_MACHINE_DIAGRAM_SPEC.md to Claude Code. SVG interactive diagram with hover/modal, company logos, two-stream layout.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3864"/>
                <w:sz w:val="20"/>
                <w:szCs w:val="20"/>
              </w:rPr>
              <w:t xml:space="preserve">Phase 6 — Political Flip</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95959"/>
                <w:sz w:val="20"/>
                <w:szCs w:val="20"/>
              </w:rPr>
              <w:t xml:space="preserve">⬜ Pending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Placeholder text in place. Core verified data documented. Full research pending.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3864"/>
                <w:sz w:val="20"/>
                <w:szCs w:val="20"/>
              </w:rPr>
              <w:t xml:space="preserve">Phase 7 — Polish &amp; Distribution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95959"/>
                <w:sz w:val="20"/>
                <w:szCs w:val="20"/>
              </w:rPr>
              <w:t xml:space="preserve">⬜ Pending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 check, copy edit, presenter test, standalone test, export.</w:t>
            </w:r>
          </w:p>
        </w:tc>
      </w:tr>
    </w:tbl>
    <w:p>
      <w:pPr>
        <w:spacing w:after="80" w:before="80"/>
      </w:pPr>
    </w:p>
    <w:p>
      <w:pPr>
        <w:pBdr>
          <w:bottom w:val="single" w:color="1F3864" w:sz="6" w:space="1"/>
        </w:pBdr>
        <w:spacing w:after="100" w:before="100"/>
      </w:pPr>
    </w:p>
    <w:p>
      <w:pPr>
        <w:pStyle w:val="Heading1"/>
        <w:spacing w:after="120" w:before="360"/>
      </w:pPr>
      <w:r>
        <w:rPr>
          <w:rFonts w:ascii="Arial" w:cs="Arial" w:eastAsia="Arial" w:hAnsi="Arial"/>
          <w:b/>
          <w:bCs/>
          <w:color w:val="1F3864"/>
          <w:sz w:val="32"/>
          <w:szCs w:val="32"/>
        </w:rPr>
        <w:t xml:space="preserve">BUILD RULES (Unchanged)</w:t>
      </w:r>
    </w:p>
    <w:p>
      <w:pPr>
        <w:pStyle w:val="ListParagraph"/>
        <w:numPr>
          <w:ilvl w:val="0"/>
          <w:numId w:val="2"/>
        </w:numPr>
        <w:spacing w:after="40" w:before="40"/>
      </w:pPr>
      <w:r>
        <w:rPr>
          <w:rFonts w:ascii="Arial" w:cs="Arial" w:eastAsia="Arial" w:hAnsi="Arial"/>
          <w:color w:val="000000"/>
          <w:sz w:val="21"/>
          <w:szCs w:val="21"/>
        </w:rPr>
        <w:t xml:space="preserve">Build one phase at a time</w:t>
      </w:r>
    </w:p>
    <w:p>
      <w:pPr>
        <w:pStyle w:val="ListParagraph"/>
        <w:numPr>
          <w:ilvl w:val="0"/>
          <w:numId w:val="2"/>
        </w:numPr>
        <w:spacing w:after="40" w:before="40"/>
      </w:pPr>
      <w:r>
        <w:rPr>
          <w:rFonts w:ascii="Arial" w:cs="Arial" w:eastAsia="Arial" w:hAnsi="Arial"/>
          <w:color w:val="000000"/>
          <w:sz w:val="21"/>
          <w:szCs w:val="21"/>
        </w:rPr>
        <w:t xml:space="preserve">Research before building — verify all figures before hardcoding</w:t>
      </w:r>
    </w:p>
    <w:p>
      <w:pPr>
        <w:pStyle w:val="ListParagraph"/>
        <w:numPr>
          <w:ilvl w:val="0"/>
          <w:numId w:val="2"/>
        </w:numPr>
        <w:spacing w:after="40" w:before="40"/>
      </w:pPr>
      <w:r>
        <w:rPr>
          <w:rFonts w:ascii="Arial" w:cs="Arial" w:eastAsia="Arial" w:hAnsi="Arial"/>
          <w:color w:val="000000"/>
          <w:sz w:val="21"/>
          <w:szCs w:val="21"/>
        </w:rPr>
        <w:t xml:space="preserve">No claim without a primary source</w:t>
      </w:r>
    </w:p>
    <w:p>
      <w:pPr>
        <w:pStyle w:val="ListParagraph"/>
        <w:numPr>
          <w:ilvl w:val="0"/>
          <w:numId w:val="2"/>
        </w:numPr>
        <w:spacing w:after="40" w:before="40"/>
      </w:pPr>
      <w:r>
        <w:rPr>
          <w:rFonts w:ascii="Arial" w:cs="Arial" w:eastAsia="Arial" w:hAnsi="Arial"/>
          <w:color w:val="000000"/>
          <w:sz w:val="21"/>
          <w:szCs w:val="21"/>
        </w:rPr>
        <w:t xml:space="preserve">Single HTML file per module — no install, no login, no internet required after initial load</w:t>
      </w:r>
    </w:p>
    <w:p>
      <w:pPr>
        <w:pStyle w:val="ListParagraph"/>
        <w:numPr>
          <w:ilvl w:val="0"/>
          <w:numId w:val="2"/>
        </w:numPr>
        <w:spacing w:after="40" w:before="40"/>
      </w:pPr>
      <w:r>
        <w:rPr>
          <w:rFonts w:ascii="Arial" w:cs="Arial" w:eastAsia="Arial" w:hAnsi="Arial"/>
          <w:color w:val="000000"/>
          <w:sz w:val="21"/>
          <w:szCs w:val="21"/>
        </w:rPr>
        <w:t xml:space="preserve">The tool must work without explanation — a stranger opens it and understands it alone</w:t>
      </w:r>
    </w:p>
    <w:p>
      <w:pPr>
        <w:pStyle w:val="ListParagraph"/>
        <w:numPr>
          <w:ilvl w:val="0"/>
          <w:numId w:val="2"/>
        </w:numPr>
        <w:spacing w:after="40" w:before="40"/>
      </w:pPr>
      <w:r>
        <w:rPr>
          <w:rFonts w:ascii="Arial" w:cs="Arial" w:eastAsia="Arial" w:hAnsi="Arial"/>
          <w:color w:val="000000"/>
          <w:sz w:val="21"/>
          <w:szCs w:val="21"/>
        </w:rPr>
        <w:t xml:space="preserve">Persuasive to both left and right audiences by focusing on shared incentive structures, not partisan framing</w:t>
      </w:r>
    </w:p>
    <w:p>
      <w:pPr>
        <w:pStyle w:val="ListParagraph"/>
        <w:numPr>
          <w:ilvl w:val="0"/>
          <w:numId w:val="2"/>
        </w:numPr>
        <w:spacing w:after="40" w:before="40"/>
      </w:pPr>
      <w:r>
        <w:rPr>
          <w:rFonts w:ascii="Arial" w:cs="Arial" w:eastAsia="Arial" w:hAnsi="Arial"/>
          <w:color w:val="000000"/>
          <w:sz w:val="21"/>
          <w:szCs w:val="21"/>
        </w:rPr>
        <w:t xml:space="preserve">Claude Code is the build environment for all diagram and module construction going forward</w:t>
      </w:r>
    </w:p>
    <w:p>
      <w:pPr>
        <w:spacing w:after="80" w:before="80"/>
      </w:pPr>
    </w:p>
    <w:p>
      <w:pPr>
        <w:spacing w:after="120" w:before="200"/>
        <w:jc w:val="center"/>
      </w:pPr>
      <w:r>
        <w:rPr>
          <w:rFonts w:ascii="Arial" w:cs="Arial" w:eastAsia="Arial" w:hAnsi="Arial"/>
          <w:i/>
          <w:iCs/>
          <w:color w:val="595959"/>
          <w:sz w:val="20"/>
          <w:szCs w:val="20"/>
        </w:rPr>
        <w:t xml:space="preserve">The Visa Incentive Machine · Project Outline v10 · April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F3864"/>
      <w:sz w:val="26"/>
      <w:szCs w:val="26"/>
    </w:rPr>
  </w:style>
  <w:style w:type="paragraph" w:styleId="Heading3">
    <w:name w:val="Heading 3"/>
    <w:basedOn w:val="Normal"/>
    <w:next w:val="Normal"/>
    <w:qFormat/>
    <w:pPr>
      <w:spacing w:after="6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2026-04-20T01:12:50.733Z</dcterms:created>
  <dcterms:modified xsi:type="dcterms:W3CDTF">2026-04-20T01:12:50.734Z</dcterms:modified>
</cp:coreProperties>
</file>

<file path=docProps/custom.xml><?xml version="1.0" encoding="utf-8"?>
<Properties xmlns="http://schemas.openxmlformats.org/officeDocument/2006/custom-properties" xmlns:vt="http://schemas.openxmlformats.org/officeDocument/2006/docPropsVTypes"/>
</file>