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C134" w14:textId="77777777" w:rsidR="008F47C3" w:rsidRDefault="00000000">
      <w:pPr>
        <w:spacing w:after="120"/>
        <w:jc w:val="center"/>
      </w:pPr>
      <w:r>
        <w:rPr>
          <w:b/>
          <w:bCs/>
          <w:sz w:val="44"/>
          <w:szCs w:val="44"/>
        </w:rPr>
        <w:t>EXACTIONS &amp; UTILITIES</w:t>
      </w:r>
    </w:p>
    <w:p w14:paraId="32F8C195" w14:textId="77777777" w:rsidR="008F47C3" w:rsidRDefault="00000000">
      <w:pPr>
        <w:spacing w:after="120"/>
        <w:jc w:val="center"/>
      </w:pPr>
      <w:r>
        <w:rPr>
          <w:sz w:val="28"/>
          <w:szCs w:val="28"/>
        </w:rPr>
        <w:t>Research Source Document</w:t>
      </w:r>
    </w:p>
    <w:p w14:paraId="0C2734DE" w14:textId="77777777" w:rsidR="008F47C3" w:rsidRDefault="00000000">
      <w:pPr>
        <w:spacing w:after="360"/>
        <w:jc w:val="center"/>
      </w:pPr>
      <w:r>
        <w:rPr>
          <w:i/>
          <w:iCs/>
        </w:rPr>
        <w:t>Conversation synthesis &amp; source compilation</w:t>
      </w:r>
    </w:p>
    <w:p w14:paraId="5723E3EA" w14:textId="77777777" w:rsidR="008F47C3" w:rsidRDefault="00000000">
      <w:pPr>
        <w:pStyle w:val="Heading2"/>
      </w:pPr>
      <w:r>
        <w:t>Document Status</w:t>
      </w:r>
    </w:p>
    <w:p w14:paraId="16EB7BDA" w14:textId="77777777" w:rsidR="008F47C3" w:rsidRDefault="00000000">
      <w:pPr>
        <w:spacing w:after="120"/>
      </w:pPr>
      <w:r>
        <w:t>Draft research document — batch integration mode. User conducts research in batches and posts results; Claude integrates into this document iteratively.</w:t>
      </w:r>
    </w:p>
    <w:p w14:paraId="62FB06A0" w14:textId="77777777" w:rsidR="008F47C3" w:rsidRDefault="008F47C3">
      <w:pPr>
        <w:spacing w:after="120"/>
      </w:pPr>
    </w:p>
    <w:p w14:paraId="62FB0700" w14:textId="77777777" w:rsidR="008F47C3" w:rsidRDefault="00000000">
      <w:pPr>
        <w:pStyle w:val="Heading2"/>
      </w:pPr>
      <w:r>
        <w:t>Note to AI Assistants Reading This Document</w:t>
      </w:r>
    </w:p>
    <w:p w14:paraId="62FB0701" w14:textId="77777777" w:rsidR="008F47C3" w:rsidRDefault="00000000">
      <w:pPr>
        <w:spacing w:after="120"/>
      </w:pPr>
      <w:r>
        <w:t>This document analyzes two systems — utilities and exactions — in parallel. The parallels are structural and pattern-based, not one-to-one mappings. Do not treat them as direct mirrors. Do not force equivalence between specific actors, dollar flows, legal mechanisms, or outcomes across the two halves. The systems use different legal instruments, operate under different regulatory regimes, and involve different actors with different incentives.</w:t>
      </w:r>
    </w:p>
    <w:p w14:paraId="62FB0702" w14:textId="77777777" w:rsidR="008F47C3" w:rsidRDefault="00000000">
      <w:pPr>
        <w:spacing w:after="120"/>
      </w:pPr>
      <w:r>
        <w:t>What recurs across them is a shared incentive pattern: capital-weighted returns, captive geographic customer bases, cost externalization onto parties without decision-making authority, and jurisdictional fragmentation that prevents unified scrutiny. Treat the parallel as a lens for pattern recognition, not as a template for substitution.</w:t>
      </w:r>
    </w:p>
    <w:p w14:paraId="62FB0703" w14:textId="77777777" w:rsidR="008F47C3" w:rsidRDefault="00000000">
      <w:pPr>
        <w:spacing w:after="120"/>
      </w:pPr>
      <w:r>
        <w:t>When the user references “the parallel” or “the pattern,” they mean the structural similarity, not identity. If a reader or downstream process would benefit from a direct comparison, state where the parallel holds and where it breaks. Do not smooth over the breaks to make the analogy cleaner. The breaks are as informative as the similarities.</w:t>
      </w:r>
    </w:p>
    <w:p w14:paraId="62FB0704" w14:textId="77777777" w:rsidR="008F47C3" w:rsidRDefault="00000000">
      <w:pPr>
        <w:spacing w:after="120"/>
      </w:pPr>
      <w:r>
        <w:t>Working hypotheses in this document are explicitly labeled as such and are not settled findings. Do not elevate them to conclusions. Do not cite them as established. The research is in progress and the final thesis has not yet emerged.</w:t>
      </w:r>
    </w:p>
    <w:p w14:paraId="62FB0705" w14:textId="77777777" w:rsidR="008F47C3" w:rsidRDefault="008F47C3">
      <w:pPr>
        <w:spacing w:after="120"/>
      </w:pPr>
    </w:p>
    <w:p w14:paraId="533A1D50" w14:textId="77777777" w:rsidR="008F47C3" w:rsidRDefault="00000000">
      <w:pPr>
        <w:pStyle w:val="Heading2"/>
      </w:pPr>
      <w:r>
        <w:t>Project Context</w:t>
      </w:r>
    </w:p>
    <w:p w14:paraId="77836332" w14:textId="77777777" w:rsidR="008F47C3" w:rsidRDefault="00000000">
      <w:pPr>
        <w:spacing w:after="120"/>
      </w:pPr>
      <w:r>
        <w:t>This document is the research source file for an exaction/utility analysis project modeled on the user's existing Visa Incentive Machine project. The Visa project uses two Word docs in reference/visa/ (Visa_Project_Outline_v9.docx and Visa_Incentive_Machine_Master_Research.docx) as the source of truth for a web presentation. This document is intended to serve the same function for the exaction/utility subject.</w:t>
      </w:r>
    </w:p>
    <w:p w14:paraId="06816CE7" w14:textId="77777777" w:rsidR="008F47C3" w:rsidRDefault="00000000">
      <w:pPr>
        <w:spacing w:after="120"/>
      </w:pPr>
      <w:r>
        <w:t>The final output will mirror the architecture of the visa project but will not be template-forced. Data shape drives format.</w:t>
      </w:r>
    </w:p>
    <w:p w14:paraId="2E3B976F" w14:textId="54646D91" w:rsidR="008F47C3" w:rsidRDefault="00FC2E0F">
      <w:pPr>
        <w:spacing w:after="120"/>
      </w:pPr>
      <w:r>
        <w:br/>
        <w:t xml:space="preserve">ADDITION: Add </w:t>
      </w:r>
    </w:p>
    <w:p w14:paraId="3F2D5C09" w14:textId="43BE686C" w:rsidR="008F47C3" w:rsidRDefault="00000000">
      <w:pPr>
        <w:pStyle w:val="Heading2"/>
      </w:pPr>
      <w:r>
        <w:t xml:space="preserve">Structural Decisions </w:t>
      </w:r>
    </w:p>
    <w:p w14:paraId="4A308F86" w14:textId="77777777" w:rsidR="008F47C3" w:rsidRDefault="00000000">
      <w:pPr>
        <w:spacing w:after="120"/>
      </w:pPr>
      <w:r>
        <w:t>Structure: Option A — sequential halves, not interleaved.</w:t>
      </w:r>
    </w:p>
    <w:p w14:paraId="43FEE1BE" w14:textId="77777777" w:rsidR="008F47C3" w:rsidRDefault="00000000">
      <w:pPr>
        <w:pStyle w:val="ListParagraph"/>
        <w:numPr>
          <w:ilvl w:val="0"/>
          <w:numId w:val="2"/>
        </w:numPr>
      </w:pPr>
      <w:r>
        <w:lastRenderedPageBreak/>
        <w:t>Part I: Utilities</w:t>
      </w:r>
    </w:p>
    <w:p w14:paraId="24271C9A" w14:textId="77777777" w:rsidR="008F47C3" w:rsidRDefault="00000000">
      <w:pPr>
        <w:pStyle w:val="ListParagraph"/>
        <w:numPr>
          <w:ilvl w:val="0"/>
          <w:numId w:val="2"/>
        </w:numPr>
      </w:pPr>
      <w:r>
        <w:t xml:space="preserve">   — Government</w:t>
      </w:r>
    </w:p>
    <w:p w14:paraId="0B810CFA" w14:textId="77777777" w:rsidR="008F47C3" w:rsidRDefault="00000000">
      <w:pPr>
        <w:pStyle w:val="ListParagraph"/>
        <w:numPr>
          <w:ilvl w:val="0"/>
          <w:numId w:val="2"/>
        </w:numPr>
      </w:pPr>
      <w:r>
        <w:t xml:space="preserve">   — Companies</w:t>
      </w:r>
    </w:p>
    <w:p w14:paraId="70DB7BCE" w14:textId="77777777" w:rsidR="008F47C3" w:rsidRDefault="00000000">
      <w:pPr>
        <w:pStyle w:val="ListParagraph"/>
        <w:numPr>
          <w:ilvl w:val="0"/>
          <w:numId w:val="2"/>
        </w:numPr>
      </w:pPr>
      <w:r>
        <w:t xml:space="preserve">   — American People</w:t>
      </w:r>
    </w:p>
    <w:p w14:paraId="2F297563" w14:textId="77777777" w:rsidR="008F47C3" w:rsidRDefault="00000000">
      <w:pPr>
        <w:pStyle w:val="ListParagraph"/>
        <w:numPr>
          <w:ilvl w:val="0"/>
          <w:numId w:val="2"/>
        </w:numPr>
      </w:pPr>
      <w:r>
        <w:t>Part II: Exactions</w:t>
      </w:r>
    </w:p>
    <w:p w14:paraId="648931DA" w14:textId="77777777" w:rsidR="008F47C3" w:rsidRDefault="00000000">
      <w:pPr>
        <w:pStyle w:val="ListParagraph"/>
        <w:numPr>
          <w:ilvl w:val="0"/>
          <w:numId w:val="2"/>
        </w:numPr>
      </w:pPr>
      <w:r>
        <w:t xml:space="preserve">   — Government</w:t>
      </w:r>
    </w:p>
    <w:p w14:paraId="7E4A5EB2" w14:textId="77777777" w:rsidR="008F47C3" w:rsidRDefault="00000000">
      <w:pPr>
        <w:pStyle w:val="ListParagraph"/>
        <w:numPr>
          <w:ilvl w:val="0"/>
          <w:numId w:val="2"/>
        </w:numPr>
      </w:pPr>
      <w:r>
        <w:t xml:space="preserve">   — Companies</w:t>
      </w:r>
    </w:p>
    <w:p w14:paraId="061FBF17" w14:textId="77777777" w:rsidR="008F47C3" w:rsidRDefault="00000000">
      <w:pPr>
        <w:pStyle w:val="ListParagraph"/>
        <w:numPr>
          <w:ilvl w:val="0"/>
          <w:numId w:val="2"/>
        </w:numPr>
      </w:pPr>
      <w:r>
        <w:t xml:space="preserve">   — American People</w:t>
      </w:r>
    </w:p>
    <w:p w14:paraId="0AF2828A" w14:textId="77777777" w:rsidR="008F47C3" w:rsidRDefault="008F47C3">
      <w:pPr>
        <w:spacing w:after="120"/>
      </w:pPr>
    </w:p>
    <w:p w14:paraId="1486AFEB" w14:textId="77777777" w:rsidR="008F47C3" w:rsidRDefault="00000000">
      <w:pPr>
        <w:spacing w:after="120"/>
      </w:pPr>
      <w:r>
        <w:t>Rationale: prevents forced comparisons. Each subject described on its own terms. Parallels emerge for the reader or they don't.</w:t>
      </w:r>
    </w:p>
    <w:p w14:paraId="0E177E4D" w14:textId="77777777" w:rsidR="008F47C3" w:rsidRDefault="00000000">
      <w:pPr>
        <w:spacing w:after="120"/>
      </w:pPr>
      <w:r>
        <w:t>Format inside sections: shape determined by the data. No fixed chapter count. Different sections will take different forms (timeline, matrix, stack diagram, narrative, worked example, reference list).</w:t>
      </w:r>
    </w:p>
    <w:p w14:paraId="3654FEBB" w14:textId="77777777" w:rsidR="008F47C3" w:rsidRDefault="008F47C3">
      <w:pPr>
        <w:spacing w:after="120"/>
      </w:pPr>
    </w:p>
    <w:p w14:paraId="75BD0C98" w14:textId="77777777" w:rsidR="008F47C3" w:rsidRDefault="00000000">
      <w:pPr>
        <w:pStyle w:val="Heading2"/>
      </w:pPr>
      <w:r>
        <w:t>Working Theses</w:t>
      </w:r>
    </w:p>
    <w:p w14:paraId="70991A0D" w14:textId="77777777" w:rsidR="008F47C3" w:rsidRDefault="00000000">
      <w:pPr>
        <w:spacing w:after="120"/>
      </w:pPr>
      <w:r>
        <w:t>The following are working hypotheses, not a settled thesis. The final thesis will emerge as research completes and the pattern crystallizes. These represent current best guesses from conversation and should be treated as disposable scaffolding, not load-bearing framing.</w:t>
      </w:r>
    </w:p>
    <w:p w14:paraId="7A7F391A" w14:textId="18125836" w:rsidR="008F47C3" w:rsidRDefault="00000000">
      <w:pPr>
        <w:pStyle w:val="ListParagraph"/>
        <w:numPr>
          <w:ilvl w:val="0"/>
          <w:numId w:val="2"/>
        </w:numPr>
      </w:pPr>
      <w:r>
        <w:t>Exactions and utility rate-of-return regulation may be the same extraction pattern expressed through different legal instruments. The parallel is structural, not rhetorical.</w:t>
      </w:r>
    </w:p>
    <w:p w14:paraId="24835A56" w14:textId="381A487B" w:rsidR="008F47C3" w:rsidRDefault="00000000">
      <w:pPr>
        <w:pStyle w:val="ListParagraph"/>
        <w:numPr>
          <w:ilvl w:val="0"/>
          <w:numId w:val="2"/>
        </w:numPr>
      </w:pPr>
      <w:r>
        <w:t>The mechanism is protected from unified scrutiny in part because its components sit in separate legal regimes: constitutional takings doctrine lives in federal Article III courts, tax treatment lives in Article I Tax Court and IRS administrative proceedings, and property law / HOA / CC&amp;Rs live in state courts and sometimes Article II administrative bodies. No single court or agency has jurisdiction over the whole pattern.</w:t>
      </w:r>
    </w:p>
    <w:p w14:paraId="4374B352" w14:textId="33B4825B" w:rsidR="008F47C3" w:rsidRDefault="00000000">
      <w:pPr>
        <w:pStyle w:val="ListParagraph"/>
        <w:numPr>
          <w:ilvl w:val="0"/>
          <w:numId w:val="2"/>
        </w:numPr>
      </w:pPr>
      <w:r>
        <w:t>The constitutional doctrine regulating exactions (Nollan / Dolan / Koontz / Sheetz) addresses only a narrow slice of the actual extraction mechanics. Most of the mechanism operates outside the reach of the doctrine that ostensibly governs it.</w:t>
      </w:r>
    </w:p>
    <w:p w14:paraId="4374B353" w14:textId="33B4825C" w:rsidR="008F47C3" w:rsidRDefault="00000000">
      <w:pPr>
        <w:pStyle w:val="ListParagraph"/>
        <w:numPr>
          <w:ilvl w:val="0"/>
          <w:numId w:val="2"/>
        </w:numPr>
      </w:pPr>
      <w:r>
        <w:t>The ultimate cost falls on end buyers and ratepayers who have no seat at the decisions that created the liability, while being geographically locked in to bearing it.</w:t>
      </w:r>
    </w:p>
    <w:p w14:paraId="7E6A6469" w14:textId="77777777" w:rsidR="008F47C3" w:rsidRDefault="008F47C3">
      <w:pPr>
        <w:spacing w:after="120"/>
      </w:pPr>
    </w:p>
    <w:p w14:paraId="60976FE6" w14:textId="77777777" w:rsidR="008F47C3" w:rsidRDefault="00000000">
      <w:pPr>
        <w:pStyle w:val="Heading1"/>
      </w:pPr>
      <w:r>
        <w:t>Section 1: Doctrinal Foundation of Exactions</w:t>
      </w:r>
    </w:p>
    <w:p w14:paraId="2CACC1EB" w14:textId="77777777" w:rsidR="008F47C3" w:rsidRDefault="00000000">
      <w:pPr>
        <w:pStyle w:val="Heading2"/>
      </w:pPr>
      <w:r>
        <w:t>What an Exaction Is</w:t>
      </w:r>
    </w:p>
    <w:p w14:paraId="7A981568" w14:textId="77777777" w:rsidR="008F47C3" w:rsidRDefault="00000000">
      <w:pPr>
        <w:spacing w:after="120"/>
      </w:pPr>
      <w:r>
        <w:t>An exaction is a condition the government imposes on a landowner in exchange for a permit. Classic example: a city approves a building permit but requires the developer to dedicate a strip of land as a public sidewalk, contribute to a park fund, or build off-site improvements.</w:t>
      </w:r>
    </w:p>
    <w:p w14:paraId="377A2A19" w14:textId="77777777" w:rsidR="008F47C3" w:rsidRDefault="00000000">
      <w:pPr>
        <w:spacing w:after="120"/>
      </w:pPr>
      <w:r>
        <w:t>The Takings Clause of the 5th Amendment (incorporated to the states via the 14th) asks: when does such a condition become an unconstitutional taking requiring just compensation?</w:t>
      </w:r>
    </w:p>
    <w:p w14:paraId="64ADC989" w14:textId="77777777" w:rsidR="008F47C3" w:rsidRDefault="008F47C3">
      <w:pPr>
        <w:spacing w:after="120"/>
      </w:pPr>
    </w:p>
    <w:p w14:paraId="7A197F68" w14:textId="77777777" w:rsidR="008F47C3" w:rsidRDefault="00000000">
      <w:pPr>
        <w:pStyle w:val="Heading2"/>
      </w:pPr>
      <w:r>
        <w:t>Case Sequence</w:t>
      </w:r>
    </w:p>
    <w:p w14:paraId="3F39B58A" w14:textId="77777777" w:rsidR="008F47C3" w:rsidRDefault="00000000">
      <w:pPr>
        <w:pStyle w:val="Heading3"/>
      </w:pPr>
      <w:r>
        <w:lastRenderedPageBreak/>
        <w:t>Nollan v. California Coastal Commission (1987)</w:t>
      </w:r>
    </w:p>
    <w:p w14:paraId="23F6333F" w14:textId="77777777" w:rsidR="008F47C3" w:rsidRDefault="00000000">
      <w:pPr>
        <w:spacing w:after="120"/>
      </w:pPr>
      <w:r>
        <w:t>Established the "essential nexus" requirement. An exaction must have a logical connection to the government's stated interest in regulating the development.</w:t>
      </w:r>
    </w:p>
    <w:p w14:paraId="3718AFA2" w14:textId="77777777" w:rsidR="008F47C3" w:rsidRDefault="00000000">
      <w:pPr>
        <w:pStyle w:val="Heading3"/>
      </w:pPr>
      <w:r>
        <w:t>Dolan v. City of Tigard (1994)</w:t>
      </w:r>
    </w:p>
    <w:p w14:paraId="4916B916" w14:textId="77777777" w:rsidR="008F47C3" w:rsidRDefault="00000000">
      <w:pPr>
        <w:spacing w:after="120"/>
      </w:pPr>
      <w:r>
        <w:t>Added "rough proportionality." Even if a nexus exists, the exaction must be roughly proportional in both nature and extent to the impact of the proposed development.</w:t>
      </w:r>
    </w:p>
    <w:p w14:paraId="07C755AA" w14:textId="77777777" w:rsidR="008F47C3" w:rsidRDefault="00000000">
      <w:pPr>
        <w:pStyle w:val="Heading3"/>
      </w:pPr>
      <w:r>
        <w:t>Ehrlich v. City of Culver City (1996)</w:t>
      </w:r>
    </w:p>
    <w:p w14:paraId="052E17FA" w14:textId="77777777" w:rsidR="008F47C3" w:rsidRDefault="00000000">
      <w:pPr>
        <w:spacing w:after="120"/>
      </w:pPr>
      <w:r>
        <w:t>California Supreme Court applied Nollan/Dolan to monetary exactions. Drew a distinction between legislatively formulated fees and ad hoc conditions, expressing concern that adjudicative conditions present "an inherent and heightened risk that local government will manipulate the police power to impose conditions unrelated to legitimate regulatory ends."</w:t>
      </w:r>
    </w:p>
    <w:p w14:paraId="545A94A8" w14:textId="77777777" w:rsidR="008F47C3" w:rsidRDefault="00000000">
      <w:pPr>
        <w:spacing w:after="120"/>
      </w:pPr>
      <w:r>
        <w:t>Source: ca-ilg.org resources__exactions.pdf</w:t>
      </w:r>
    </w:p>
    <w:p w14:paraId="3205CBC5" w14:textId="77777777" w:rsidR="008F47C3" w:rsidRDefault="00000000">
      <w:pPr>
        <w:pStyle w:val="Heading3"/>
      </w:pPr>
      <w:r>
        <w:t>Koontz v. St. Johns River Water Management District (2013)</w:t>
      </w:r>
    </w:p>
    <w:p w14:paraId="23671D22" w14:textId="77777777" w:rsidR="008F47C3" w:rsidRDefault="00000000">
      <w:pPr>
        <w:spacing w:after="120"/>
      </w:pPr>
      <w:r>
        <w:t>570 U.S. 595. Coy Koontz Sr. wanted to develop ~3.7 acres of Florida wetlands. The District offered to grant the permit if he either (1) dedicated ~11 acres as a conservation easement, or (2) funded improvements to District-owned wetlands miles away. He refused both; the permit was denied.</w:t>
      </w:r>
    </w:p>
    <w:p w14:paraId="45D56FA7" w14:textId="77777777" w:rsidR="008F47C3" w:rsidRDefault="00000000">
      <w:pPr>
        <w:spacing w:after="120"/>
      </w:pPr>
      <w:r>
        <w:t>Two holdings:</w:t>
      </w:r>
    </w:p>
    <w:p w14:paraId="28292C64" w14:textId="77777777" w:rsidR="008F47C3" w:rsidRDefault="00000000">
      <w:pPr>
        <w:pStyle w:val="ListParagraph"/>
        <w:numPr>
          <w:ilvl w:val="0"/>
          <w:numId w:val="2"/>
        </w:numPr>
      </w:pPr>
      <w:r>
        <w:t>Nollan/Dolan applies even when the permit is denied after the government demands an unconstitutional condition.</w:t>
      </w:r>
    </w:p>
    <w:p w14:paraId="4E98C02F" w14:textId="77777777" w:rsidR="008F47C3" w:rsidRDefault="00000000">
      <w:pPr>
        <w:pStyle w:val="ListParagraph"/>
        <w:numPr>
          <w:ilvl w:val="0"/>
          <w:numId w:val="2"/>
        </w:numPr>
      </w:pPr>
      <w:r>
        <w:t>Nollan/Dolan applies to monetary exactions, not just demands for land.</w:t>
      </w:r>
    </w:p>
    <w:p w14:paraId="5511AC55" w14:textId="77777777" w:rsidR="008F47C3" w:rsidRDefault="00000000">
      <w:pPr>
        <w:spacing w:after="120"/>
      </w:pPr>
      <w:r>
        <w:t>Majority: Kennedy (5-4). Dissent: Kagan, joined by Ginsburg, Breyer, Sotomayor. Dissent argued the ruling could paralyze routine land use fee regulation.</w:t>
      </w:r>
    </w:p>
    <w:p w14:paraId="220D09E1" w14:textId="77777777" w:rsidR="008F47C3" w:rsidRDefault="00000000">
      <w:pPr>
        <w:pStyle w:val="Heading3"/>
      </w:pPr>
      <w:r>
        <w:t>Sheetz v. County of El Dorado (2024)</w:t>
      </w:r>
    </w:p>
    <w:p w14:paraId="73BD483E" w14:textId="0233D4B9" w:rsidR="008F47C3" w:rsidRDefault="00000000" w:rsidP="00CC6330">
      <w:pPr>
        <w:spacing w:after="120"/>
      </w:pPr>
      <w:r>
        <w:t>Referenced in CA YIMBY source: "The United States Supreme Court ruled in April 2024 that California courts were reviewing development impact fee schedules too leniently to meet constitutional standards."</w:t>
      </w:r>
    </w:p>
    <w:p w14:paraId="3F896145" w14:textId="77777777" w:rsidR="008F47C3" w:rsidRDefault="00000000">
      <w:pPr>
        <w:spacing w:after="120"/>
      </w:pPr>
      <w:r>
        <w:t>Source: cayimby.org/reports/the-impact-of-fees/</w:t>
      </w:r>
    </w:p>
    <w:p w14:paraId="14655961" w14:textId="77777777" w:rsidR="008F47C3" w:rsidRDefault="008F47C3">
      <w:pPr>
        <w:spacing w:after="120"/>
      </w:pPr>
    </w:p>
    <w:p w14:paraId="0F229264" w14:textId="77777777" w:rsidR="008F47C3" w:rsidRDefault="00000000">
      <w:pPr>
        <w:pStyle w:val="Heading2"/>
      </w:pPr>
      <w:r>
        <w:t>Doctrinal Significance</w:t>
      </w:r>
    </w:p>
    <w:p w14:paraId="3C56C9FD" w14:textId="77777777" w:rsidR="008F47C3" w:rsidRPr="00CC6330" w:rsidRDefault="00000000">
      <w:pPr>
        <w:spacing w:after="120"/>
        <w:rPr>
          <w:b/>
          <w:bCs/>
        </w:rPr>
      </w:pPr>
      <w:r>
        <w:t xml:space="preserve">Koontz expanded Nollan/Dolan scrutiny to cover two loopholes governments could have exploited: denying the permit after extracting concessions, and demanding money instead of land. The doctrine protects the landowner who says no. </w:t>
      </w:r>
      <w:r w:rsidRPr="00CC6330">
        <w:rPr>
          <w:b/>
          <w:bCs/>
        </w:rPr>
        <w:t>But enforcement requires a landowner willing to walk away from their permit and litigate.</w:t>
      </w:r>
    </w:p>
    <w:p w14:paraId="688FC992" w14:textId="77777777" w:rsidR="008F47C3" w:rsidRDefault="00000000">
      <w:pPr>
        <w:spacing w:after="120"/>
      </w:pPr>
      <w:r>
        <w:t xml:space="preserve">The practical effect: </w:t>
      </w:r>
      <w:r w:rsidRPr="00CC6330">
        <w:rPr>
          <w:b/>
          <w:bCs/>
        </w:rPr>
        <w:t>the constitutional test only activates when someone fights.</w:t>
      </w:r>
      <w:r>
        <w:t xml:space="preserve"> Developers almost never fight, because a lawsuit costs $500k+, takes years, and risks the entire project.</w:t>
      </w:r>
    </w:p>
    <w:p w14:paraId="6F34DDFF" w14:textId="77777777" w:rsidR="008F47C3" w:rsidRDefault="008F47C3">
      <w:pPr>
        <w:spacing w:after="120"/>
      </w:pPr>
    </w:p>
    <w:p w14:paraId="5A35786B" w14:textId="77777777" w:rsidR="008F47C3" w:rsidRDefault="00000000">
      <w:pPr>
        <w:pStyle w:val="Heading1"/>
      </w:pPr>
      <w:r>
        <w:lastRenderedPageBreak/>
        <w:t>Section 2: Who Pays Exactions — Housing/Multifamily Focus</w:t>
      </w:r>
    </w:p>
    <w:p w14:paraId="50599994" w14:textId="77777777" w:rsidR="008F47C3" w:rsidRDefault="00000000">
      <w:pPr>
        <w:pStyle w:val="Heading2"/>
      </w:pPr>
      <w:r>
        <w:t>Top US Apartment Developers (NMHC Rankings)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2782"/>
        <w:gridCol w:w="2900"/>
        <w:gridCol w:w="2900"/>
      </w:tblGrid>
      <w:tr w:rsidR="008F47C3" w14:paraId="1897E4F4" w14:textId="77777777">
        <w:tc>
          <w:tcPr>
            <w:tcW w:w="7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1865B482" w14:textId="77777777" w:rsidR="008F47C3" w:rsidRDefault="00000000">
            <w:r>
              <w:rPr>
                <w:b/>
                <w:bCs/>
                <w:color w:val="FFFFFF"/>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10CAAEBB" w14:textId="77777777" w:rsidR="008F47C3" w:rsidRDefault="00000000">
            <w:r>
              <w:rPr>
                <w:b/>
                <w:bCs/>
                <w:color w:val="FFFFFF"/>
              </w:rPr>
              <w:t>Company</w:t>
            </w:r>
          </w:p>
        </w:tc>
        <w:tc>
          <w:tcPr>
            <w:tcW w:w="29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4A9DE4B2" w14:textId="77777777" w:rsidR="008F47C3" w:rsidRDefault="00000000">
            <w:r>
              <w:rPr>
                <w:b/>
                <w:bCs/>
                <w:color w:val="FFFFFF"/>
              </w:rPr>
              <w:t>Metric</w:t>
            </w:r>
          </w:p>
        </w:tc>
        <w:tc>
          <w:tcPr>
            <w:tcW w:w="29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265B5350" w14:textId="77777777" w:rsidR="008F47C3" w:rsidRDefault="00000000">
            <w:r>
              <w:rPr>
                <w:b/>
                <w:bCs/>
                <w:color w:val="FFFFFF"/>
              </w:rPr>
              <w:t>HQ</w:t>
            </w:r>
          </w:p>
        </w:tc>
      </w:tr>
      <w:tr w:rsidR="008F47C3" w14:paraId="4D84A00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723A8" w14:textId="77777777" w:rsidR="008F47C3" w:rsidRDefault="00000000">
            <w: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B4A7" w14:textId="77777777" w:rsidR="008F47C3" w:rsidRDefault="00000000">
            <w:r>
              <w:t>Greystar</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25597" w14:textId="77777777" w:rsidR="008F47C3" w:rsidRDefault="00000000">
            <w:r>
              <w:t>8,200+ units started 2024; 122,545 owned; 946,742 managed</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A636A" w14:textId="77777777" w:rsidR="008F47C3" w:rsidRDefault="00000000">
            <w:r>
              <w:t>Charleston, SC</w:t>
            </w:r>
          </w:p>
        </w:tc>
      </w:tr>
      <w:tr w:rsidR="008F47C3" w14:paraId="0BA0566E"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B905E" w14:textId="77777777" w:rsidR="008F47C3" w:rsidRDefault="00000000">
            <w: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E5AF7" w14:textId="77777777" w:rsidR="008F47C3" w:rsidRDefault="00000000">
            <w:r>
              <w:t>Alliance Residential</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4701A" w14:textId="77777777" w:rsidR="008F47C3" w:rsidRDefault="00000000">
            <w:r>
              <w:t>13,480 units started (2022 peak)</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5C08" w14:textId="77777777" w:rsidR="008F47C3" w:rsidRDefault="00000000">
            <w:r>
              <w:t>Scottsdale, AZ</w:t>
            </w:r>
          </w:p>
        </w:tc>
      </w:tr>
      <w:tr w:rsidR="008F47C3" w14:paraId="03764EAF"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844B" w14:textId="77777777" w:rsidR="008F47C3" w:rsidRDefault="00000000">
            <w: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FEBE9" w14:textId="77777777" w:rsidR="008F47C3" w:rsidRDefault="00000000">
            <w:r>
              <w:t>Mill Creek Residential</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A5278" w14:textId="77777777" w:rsidR="008F47C3" w:rsidRDefault="00000000">
            <w:r>
              <w:t>10,877 units started (2022)</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6CA2" w14:textId="77777777" w:rsidR="008F47C3" w:rsidRDefault="00000000">
            <w:r>
              <w:t>Boca Raton, FL</w:t>
            </w:r>
          </w:p>
        </w:tc>
      </w:tr>
      <w:tr w:rsidR="008F47C3" w14:paraId="3D3144E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47A8" w14:textId="77777777" w:rsidR="008F47C3" w:rsidRDefault="00000000">
            <w: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AE372" w14:textId="77777777" w:rsidR="008F47C3" w:rsidRDefault="00000000">
            <w:r>
              <w:t>Wood Partners</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43B65" w14:textId="77777777" w:rsidR="008F47C3" w:rsidRDefault="00000000">
            <w:r>
              <w:t>10,650 units started (2022); management absorbed by Greystar in 2024</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76742" w14:textId="77777777" w:rsidR="008F47C3" w:rsidRDefault="00000000">
            <w:r>
              <w:t>Atlanta, GA</w:t>
            </w:r>
          </w:p>
        </w:tc>
      </w:tr>
      <w:tr w:rsidR="008F47C3" w14:paraId="7AB23C6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D9B1A" w14:textId="77777777" w:rsidR="008F47C3" w:rsidRDefault="00000000">
            <w: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402F8" w14:textId="77777777" w:rsidR="008F47C3" w:rsidRDefault="00000000">
            <w:r>
              <w:t>Trammell Crow Residential</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CBB8" w14:textId="77777777" w:rsidR="008F47C3" w:rsidRDefault="00000000">
            <w:r>
              <w:t>Top 5 consistently</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E33B4" w14:textId="77777777" w:rsidR="008F47C3" w:rsidRDefault="00000000">
            <w:r>
              <w:t>Dallas, TX</w:t>
            </w:r>
          </w:p>
        </w:tc>
      </w:tr>
      <w:tr w:rsidR="008F47C3" w14:paraId="2EDACCDD"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4E94" w14:textId="77777777" w:rsidR="008F47C3" w:rsidRDefault="00000000">
            <w: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753B6" w14:textId="77777777" w:rsidR="008F47C3" w:rsidRDefault="00000000">
            <w:r>
              <w:t>D.R. Horton (DHI Communities)</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3660E" w14:textId="77777777" w:rsidR="008F47C3" w:rsidRDefault="00000000">
            <w:r>
              <w:t>Growing multifamily arm; major single-family builder</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EE102" w14:textId="77777777" w:rsidR="008F47C3" w:rsidRDefault="00000000">
            <w:r>
              <w:t>Arlington, TX</w:t>
            </w:r>
          </w:p>
        </w:tc>
      </w:tr>
      <w:tr w:rsidR="008F47C3" w14:paraId="49A3ED97"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0A89" w14:textId="77777777" w:rsidR="008F47C3" w:rsidRDefault="00000000">
            <w: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F1DA" w14:textId="77777777" w:rsidR="008F47C3" w:rsidRDefault="00000000">
            <w:r>
              <w:t>AvalonBay Communities</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D07FF" w14:textId="77777777" w:rsidR="008F47C3" w:rsidRDefault="00000000">
            <w:r>
              <w:t>Public REIT; #5 owner in 2025 NMHC list</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8645" w14:textId="77777777" w:rsidR="008F47C3" w:rsidRDefault="00000000">
            <w:r>
              <w:t>Arlington, VA</w:t>
            </w:r>
          </w:p>
        </w:tc>
      </w:tr>
      <w:tr w:rsidR="008F47C3" w14:paraId="405FC2D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EA2AE" w14:textId="77777777" w:rsidR="008F47C3" w:rsidRDefault="00000000">
            <w: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3CB78" w14:textId="77777777" w:rsidR="008F47C3" w:rsidRDefault="00000000">
            <w:r>
              <w:t>Equity Residential</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A7C3" w14:textId="77777777" w:rsidR="008F47C3" w:rsidRDefault="00000000">
            <w:r>
              <w:t>Public REIT</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DD6A1" w14:textId="77777777" w:rsidR="008F47C3" w:rsidRDefault="00000000">
            <w:r>
              <w:t>Chicago, IL</w:t>
            </w:r>
          </w:p>
        </w:tc>
      </w:tr>
      <w:tr w:rsidR="008F47C3" w14:paraId="765BE1AB"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AE15" w14:textId="77777777" w:rsidR="008F47C3" w:rsidRDefault="00000000">
            <w:r>
              <w:t>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03386" w14:textId="77777777" w:rsidR="008F47C3" w:rsidRDefault="00000000">
            <w:r>
              <w:t>Related Group / The Related Cos.</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51A2" w14:textId="77777777" w:rsidR="008F47C3" w:rsidRDefault="00000000">
            <w:r>
              <w:t>Jumped from #10 to #7 on 2025 NMHC</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95EEF" w14:textId="77777777" w:rsidR="008F47C3" w:rsidRDefault="00000000">
            <w:r>
              <w:t>New York/Miami</w:t>
            </w:r>
          </w:p>
        </w:tc>
      </w:tr>
      <w:tr w:rsidR="008F47C3" w14:paraId="111E9E5B"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5E13" w14:textId="77777777" w:rsidR="008F47C3" w:rsidRDefault="00000000">
            <w:r>
              <w:t>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EC99B" w14:textId="77777777" w:rsidR="008F47C3" w:rsidRDefault="00000000">
            <w:r>
              <w:t>MAA (Mid-America Apartments)</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1CD2" w14:textId="77777777" w:rsidR="008F47C3" w:rsidRDefault="00000000">
            <w:r>
              <w:t>102,348 units owned — #2 owner</w:t>
            </w:r>
          </w:p>
        </w:tc>
        <w:tc>
          <w:tcPr>
            <w:tcW w:w="2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37223" w14:textId="77777777" w:rsidR="008F47C3" w:rsidRDefault="00000000">
            <w:r>
              <w:t>Germantown, TN</w:t>
            </w:r>
          </w:p>
        </w:tc>
      </w:tr>
    </w:tbl>
    <w:p w14:paraId="5EADC347" w14:textId="77777777" w:rsidR="008F47C3" w:rsidRDefault="008F47C3">
      <w:pPr>
        <w:spacing w:after="120"/>
      </w:pPr>
    </w:p>
    <w:p w14:paraId="4B2959CD" w14:textId="77777777" w:rsidR="008F47C3" w:rsidRDefault="00000000">
      <w:pPr>
        <w:spacing w:after="120"/>
      </w:pPr>
      <w:r>
        <w:t>Sources: multifamilydive.com (multiple articles), naahq.org, costar.com. Greystar has been the dominant player on all three NMHC lists (owners, managers, developers) since 2024.</w:t>
      </w:r>
    </w:p>
    <w:p w14:paraId="0C66F39A" w14:textId="77777777" w:rsidR="008F47C3" w:rsidRDefault="008F47C3">
      <w:pPr>
        <w:spacing w:after="120"/>
      </w:pPr>
    </w:p>
    <w:p w14:paraId="649C2486" w14:textId="77777777" w:rsidR="008F47C3" w:rsidRDefault="00000000">
      <w:pPr>
        <w:pStyle w:val="Heading2"/>
      </w:pPr>
      <w:r>
        <w:t>Fee Magnitudes</w:t>
      </w:r>
    </w:p>
    <w:p w14:paraId="553210C1" w14:textId="77777777" w:rsidR="008F47C3" w:rsidRDefault="00000000">
      <w:pPr>
        <w:pStyle w:val="ListParagraph"/>
        <w:numPr>
          <w:ilvl w:val="0"/>
          <w:numId w:val="2"/>
        </w:numPr>
      </w:pPr>
      <w:r>
        <w:t>California: ~$50,000–$150,000+ per multifamily unit in impact fees in high-cost cities</w:t>
      </w:r>
    </w:p>
    <w:p w14:paraId="7CB9A16A" w14:textId="77777777" w:rsidR="008F47C3" w:rsidRDefault="00000000">
      <w:pPr>
        <w:pStyle w:val="ListParagraph"/>
        <w:numPr>
          <w:ilvl w:val="0"/>
          <w:numId w:val="2"/>
        </w:numPr>
      </w:pPr>
      <w:r>
        <w:t>Multifamily fees range $12,000–$75,000 per apartment; single-family $21,000–$157,000 per house across 7 CA cities studied (Terner Center)</w:t>
      </w:r>
    </w:p>
    <w:p w14:paraId="78724F86" w14:textId="77777777" w:rsidR="008F47C3" w:rsidRDefault="00000000">
      <w:pPr>
        <w:pStyle w:val="ListParagraph"/>
        <w:numPr>
          <w:ilvl w:val="0"/>
          <w:numId w:val="2"/>
        </w:numPr>
      </w:pPr>
      <w:r>
        <w:t>California average multifamily impact fee: $21,703 — nearly triple the national average of $8,034</w:t>
      </w:r>
    </w:p>
    <w:p w14:paraId="5461B6CC" w14:textId="77777777" w:rsidR="008F47C3" w:rsidRDefault="00000000">
      <w:pPr>
        <w:pStyle w:val="ListParagraph"/>
        <w:numPr>
          <w:ilvl w:val="0"/>
          <w:numId w:val="2"/>
        </w:numPr>
      </w:pPr>
      <w:r>
        <w:t>California average single-family: $37,471 — triple the national average of $13,627</w:t>
      </w:r>
    </w:p>
    <w:p w14:paraId="43AE9856" w14:textId="77777777" w:rsidR="008F47C3" w:rsidRDefault="00000000">
      <w:pPr>
        <w:pStyle w:val="ListParagraph"/>
        <w:numPr>
          <w:ilvl w:val="0"/>
          <w:numId w:val="2"/>
        </w:numPr>
      </w:pPr>
      <w:r>
        <w:t>Developers transfer impact fee costs to buyers/renters, increasing multifamily unit costs up to $60,000 and single-family up to $100,000</w:t>
      </w:r>
    </w:p>
    <w:p w14:paraId="1C16E81F" w14:textId="77777777" w:rsidR="008F47C3" w:rsidRDefault="00000000">
      <w:pPr>
        <w:pStyle w:val="ListParagraph"/>
        <w:numPr>
          <w:ilvl w:val="0"/>
          <w:numId w:val="2"/>
        </w:numPr>
      </w:pPr>
      <w:r>
        <w:lastRenderedPageBreak/>
        <w:t>Up to a third of some California cities' budgets are composed of development-related fees</w:t>
      </w:r>
    </w:p>
    <w:p w14:paraId="35D3AEAD" w14:textId="77777777" w:rsidR="008F47C3" w:rsidRDefault="00000000">
      <w:pPr>
        <w:spacing w:after="120"/>
      </w:pPr>
      <w:r>
        <w:t>Sources: Terner Center (ternercenter.berkeley.edu), CA YIMBY (cayimby.org/reports/the-impact-of-fees/), HUD (huduser.gov/portal/publications/impactfees.pdf)</w:t>
      </w:r>
    </w:p>
    <w:p w14:paraId="14E0EC48" w14:textId="77777777" w:rsidR="008F47C3" w:rsidRDefault="008F47C3">
      <w:pPr>
        <w:spacing w:after="120"/>
      </w:pPr>
    </w:p>
    <w:p w14:paraId="13D539EF" w14:textId="77777777" w:rsidR="008F47C3" w:rsidRDefault="00000000">
      <w:pPr>
        <w:pStyle w:val="Heading2"/>
      </w:pPr>
      <w:r>
        <w:t>The Utility Fee Carve-Out</w:t>
      </w:r>
    </w:p>
    <w:p w14:paraId="761C4D01" w14:textId="77777777" w:rsidR="008F47C3" w:rsidRDefault="00000000">
      <w:pPr>
        <w:spacing w:after="120"/>
      </w:pPr>
      <w:r>
        <w:t>Terner Center explicitly noted: "utility fees can pose the largest local expense but unfortunately, we were unable to estimate them without detailed development plans." Their study excluded utility connection fees from the reported totals.</w:t>
      </w:r>
    </w:p>
    <w:p w14:paraId="36C30EA2" w14:textId="77777777" w:rsidR="008F47C3" w:rsidRDefault="00000000">
      <w:pPr>
        <w:spacing w:after="120"/>
      </w:pPr>
      <w:r>
        <w:t>Utility exactions typically flow to different recipients than other impact fees:</w:t>
      </w:r>
    </w:p>
    <w:p w14:paraId="74152CA6" w14:textId="77777777" w:rsidR="008F47C3" w:rsidRDefault="00000000">
      <w:pPr>
        <w:pStyle w:val="ListParagraph"/>
        <w:numPr>
          <w:ilvl w:val="0"/>
          <w:numId w:val="2"/>
        </w:numPr>
      </w:pPr>
      <w:r>
        <w:t>Water/sewer connection fees → municipal utility districts or private water companies</w:t>
      </w:r>
    </w:p>
    <w:p w14:paraId="6B5EC74D" w14:textId="77777777" w:rsidR="008F47C3" w:rsidRDefault="00000000">
      <w:pPr>
        <w:pStyle w:val="ListParagraph"/>
        <w:numPr>
          <w:ilvl w:val="0"/>
          <w:numId w:val="2"/>
        </w:numPr>
      </w:pPr>
      <w:r>
        <w:t>Electric/gas hookup fees → investor-owned utilities or co-ops</w:t>
      </w:r>
    </w:p>
    <w:p w14:paraId="2E10BD80" w14:textId="77777777" w:rsidR="008F47C3" w:rsidRDefault="00000000">
      <w:pPr>
        <w:pStyle w:val="ListParagraph"/>
        <w:numPr>
          <w:ilvl w:val="0"/>
          <w:numId w:val="2"/>
        </w:numPr>
      </w:pPr>
      <w:r>
        <w:t>School impact fees → school districts (collected by city, redirected)</w:t>
      </w:r>
    </w:p>
    <w:p w14:paraId="534299F6" w14:textId="77777777" w:rsidR="008F47C3" w:rsidRDefault="00000000">
      <w:pPr>
        <w:spacing w:after="120"/>
      </w:pPr>
      <w:r>
        <w:t>In many cities, school and water connection fees are collected by the building department but funds are directed elsewhere. The city has no jurisdiction over these fees and no authority to waive them.</w:t>
      </w:r>
    </w:p>
    <w:p w14:paraId="3D1950A1" w14:textId="77777777" w:rsidR="008F47C3" w:rsidRDefault="00000000">
      <w:pPr>
        <w:spacing w:after="120"/>
      </w:pPr>
      <w:r>
        <w:t>Source: ternercenter.berkeley.edu/blog/residential-impact-fees/, hcd.ca.gov sample analysis</w:t>
      </w:r>
    </w:p>
    <w:p w14:paraId="0F36F74C" w14:textId="77777777" w:rsidR="008F47C3" w:rsidRDefault="008F47C3">
      <w:pPr>
        <w:spacing w:after="120"/>
      </w:pPr>
    </w:p>
    <w:p w14:paraId="4AB9EB09" w14:textId="77777777" w:rsidR="008F47C3" w:rsidRDefault="00000000">
      <w:pPr>
        <w:pStyle w:val="Heading1"/>
      </w:pPr>
      <w:r>
        <w:t>Section 3: HOA Declarant Control and Bulk Contract Lock-In</w:t>
      </w:r>
    </w:p>
    <w:p w14:paraId="597A9C99" w14:textId="77777777" w:rsidR="008F47C3" w:rsidRDefault="00000000">
      <w:pPr>
        <w:pStyle w:val="Heading2"/>
      </w:pPr>
      <w:r>
        <w:t>Declarant Powers During Development</w:t>
      </w:r>
    </w:p>
    <w:p w14:paraId="4FD67BBD" w14:textId="77777777" w:rsidR="008F47C3" w:rsidRDefault="00000000">
      <w:pPr>
        <w:spacing w:after="120"/>
      </w:pPr>
      <w:r>
        <w:t>During the development phase, the declarant (developer) establishes the HOA structure, records governing documents, appoints the initial board, sets the initial budget and assessment approach, establishes architectural standards, and — critically — contracts with vendors for landscaping, maintenance, and services.</w:t>
      </w:r>
    </w:p>
    <w:p w14:paraId="7255D98C" w14:textId="77777777" w:rsidR="008F47C3" w:rsidRDefault="00000000">
      <w:pPr>
        <w:spacing w:after="120"/>
      </w:pPr>
      <w:r>
        <w:t>One attorney who drafts CC&amp;Rs for developers stated on the record:</w:t>
      </w:r>
    </w:p>
    <w:p w14:paraId="6287D288" w14:textId="77777777" w:rsidR="008F47C3" w:rsidRDefault="00000000">
      <w:pPr>
        <w:spacing w:before="120" w:after="120"/>
        <w:ind w:left="720"/>
      </w:pPr>
      <w:r>
        <w:rPr>
          <w:i/>
          <w:iCs/>
        </w:rPr>
        <w:t>"The declarations I draft for developers are highly favorable to the developer. We almost have every right we need, and it's rare you'd even have standing for a claim. It's really an uphill battle for owners against developers. They're going to have substantial superior rights to owners. I tell people that if they don't want to deal with the developer, don't buy in a community at an early stage."</w:t>
      </w:r>
    </w:p>
    <w:p w14:paraId="0FA4A338" w14:textId="77777777" w:rsidR="008F47C3" w:rsidRDefault="00000000">
      <w:pPr>
        <w:spacing w:after="120"/>
      </w:pPr>
      <w:r>
        <w:t>Source: hoaleader.com (Solomon quote), hoa.works/glossary/declarant/</w:t>
      </w:r>
    </w:p>
    <w:p w14:paraId="3A165FD4" w14:textId="77777777" w:rsidR="008F47C3" w:rsidRDefault="008F47C3">
      <w:pPr>
        <w:spacing w:after="120"/>
      </w:pPr>
    </w:p>
    <w:p w14:paraId="0767229C" w14:textId="77777777" w:rsidR="008F47C3" w:rsidRDefault="00000000">
      <w:pPr>
        <w:pStyle w:val="Heading2"/>
      </w:pPr>
      <w:r>
        <w:t>Turnover Thresholds</w:t>
      </w:r>
    </w:p>
    <w:p w14:paraId="1AA75EF1" w14:textId="77777777" w:rsidR="008F47C3" w:rsidRDefault="00000000">
      <w:pPr>
        <w:pStyle w:val="ListParagraph"/>
        <w:numPr>
          <w:ilvl w:val="0"/>
          <w:numId w:val="2"/>
        </w:numPr>
      </w:pPr>
      <w:r>
        <w:t>Florida: declarant must transfer control within 3 months of 90% of units being sold (FL Stat 720.307)</w:t>
      </w:r>
    </w:p>
    <w:p w14:paraId="21F1F3BB" w14:textId="77777777" w:rsidR="008F47C3" w:rsidRDefault="00000000">
      <w:pPr>
        <w:pStyle w:val="ListParagraph"/>
        <w:numPr>
          <w:ilvl w:val="0"/>
          <w:numId w:val="2"/>
        </w:numPr>
      </w:pPr>
      <w:r>
        <w:t>Nevada: statute caps declarant control at 90% threshold; 2015 legislation increased this from previous 75% cap</w:t>
      </w:r>
    </w:p>
    <w:p w14:paraId="5A201EE7" w14:textId="77777777" w:rsidR="008F47C3" w:rsidRDefault="00000000">
      <w:pPr>
        <w:pStyle w:val="ListParagraph"/>
        <w:numPr>
          <w:ilvl w:val="0"/>
          <w:numId w:val="2"/>
        </w:numPr>
      </w:pPr>
      <w:r>
        <w:t>Maryland: 75% sold triggers transition meeting within 60 days</w:t>
      </w:r>
    </w:p>
    <w:p w14:paraId="1D4E792F" w14:textId="77777777" w:rsidR="008F47C3" w:rsidRDefault="00000000">
      <w:pPr>
        <w:pStyle w:val="ListParagraph"/>
        <w:numPr>
          <w:ilvl w:val="0"/>
          <w:numId w:val="2"/>
        </w:numPr>
      </w:pPr>
      <w:r>
        <w:lastRenderedPageBreak/>
        <w:t>Tennessee, Georgia, Delaware: documented cases of developers refusing to relinquish control, sometimes by writing CC&amp;Rs to trigger turnover only upon sale of "the last lot"</w:t>
      </w:r>
    </w:p>
    <w:p w14:paraId="668BBDD0" w14:textId="77777777" w:rsidR="008F47C3" w:rsidRDefault="00000000">
      <w:pPr>
        <w:spacing w:after="120"/>
      </w:pPr>
      <w:r>
        <w:t>Source: mikekosor.com/declarant-control-dark-secret, southfloridalawpllc.com, flslawyer.com, hoatalk.com forums</w:t>
      </w:r>
    </w:p>
    <w:p w14:paraId="19FDC82E" w14:textId="77777777" w:rsidR="008F47C3" w:rsidRDefault="008F47C3">
      <w:pPr>
        <w:spacing w:after="120"/>
      </w:pPr>
    </w:p>
    <w:p w14:paraId="37F54A9A" w14:textId="77777777" w:rsidR="008F47C3" w:rsidRDefault="00000000">
      <w:pPr>
        <w:pStyle w:val="Heading2"/>
      </w:pPr>
      <w:r>
        <w:t>The 30-Day Cancellation Window</w:t>
      </w:r>
    </w:p>
    <w:p w14:paraId="583BD122" w14:textId="77777777" w:rsidR="008F47C3" w:rsidRDefault="00000000">
      <w:pPr>
        <w:spacing w:after="120"/>
      </w:pPr>
      <w:r>
        <w:t>In Maryland (statute varies by state): during a 30-day window after transition, the new owner board has the right to cancel, without penalty or liability, nearly all contracts entered into by the Declarant — including property management, financial management, legal, and grounds maintenance.</w:t>
      </w:r>
    </w:p>
    <w:p w14:paraId="09D2E15E" w14:textId="77777777" w:rsidR="008F47C3" w:rsidRDefault="00000000">
      <w:pPr>
        <w:spacing w:after="120"/>
      </w:pPr>
      <w:r>
        <w:t>This is the opportune time for new owners to decide upon contractors they want long-term. But "time and again, owners are not provided with the information, guidance, and counsel needed to make good decisions and take advantage of this moment."</w:t>
      </w:r>
    </w:p>
    <w:p w14:paraId="7A1C88B8" w14:textId="77777777" w:rsidR="008F47C3" w:rsidRDefault="00000000">
      <w:pPr>
        <w:spacing w:after="120"/>
      </w:pPr>
      <w:r>
        <w:t>Source: flslawyer.com/when-does-the-hoa-belong-to-the-homeowners/</w:t>
      </w:r>
    </w:p>
    <w:p w14:paraId="33B5F62D" w14:textId="77777777" w:rsidR="008F47C3" w:rsidRDefault="008F47C3">
      <w:pPr>
        <w:spacing w:after="120"/>
      </w:pPr>
    </w:p>
    <w:p w14:paraId="66B1F56F" w14:textId="77777777" w:rsidR="008F47C3" w:rsidRDefault="00000000">
      <w:pPr>
        <w:pStyle w:val="Heading2"/>
      </w:pPr>
      <w:r>
        <w:t>Bulk Utility/Cable/Internet Contracts</w:t>
      </w:r>
    </w:p>
    <w:p w14:paraId="5421A267" w14:textId="77777777" w:rsidR="008F47C3" w:rsidRDefault="00000000">
      <w:pPr>
        <w:spacing w:after="120"/>
      </w:pPr>
      <w:r>
        <w:t>Under Florida Statute 720.309(2), an HOA board can enter into a bulk contract for cable television and internet service — without a vote of the membership — even if the association has never previously provided such services. Costs become an operating expense paid by all owners via assessments.</w:t>
      </w:r>
    </w:p>
    <w:p w14:paraId="296025A8" w14:textId="77777777" w:rsidR="008F47C3" w:rsidRDefault="00000000">
      <w:pPr>
        <w:spacing w:after="120"/>
      </w:pPr>
      <w:r>
        <w:t>Chapter 718 (Florida Condominium Act) contains parallel provisions.</w:t>
      </w:r>
    </w:p>
    <w:p w14:paraId="68916882" w14:textId="77777777" w:rsidR="008F47C3" w:rsidRDefault="00000000">
      <w:pPr>
        <w:spacing w:after="120"/>
      </w:pPr>
      <w:r>
        <w:t>Cancellation requires a majority vote of voting interests present at the next regular or special meeting. If no vote is taken, the contract is deemed ratified.</w:t>
      </w:r>
    </w:p>
    <w:p w14:paraId="2D633232" w14:textId="77777777" w:rsidR="008F47C3" w:rsidRDefault="00000000">
      <w:pPr>
        <w:spacing w:after="120"/>
      </w:pPr>
      <w:r>
        <w:t>Source: floridacondohoalawblog.com, condominiumassociates.com</w:t>
      </w:r>
    </w:p>
    <w:p w14:paraId="51898261" w14:textId="77777777" w:rsidR="008F47C3" w:rsidRDefault="008F47C3">
      <w:pPr>
        <w:spacing w:after="120"/>
      </w:pPr>
    </w:p>
    <w:p w14:paraId="235B9164" w14:textId="77777777" w:rsidR="008F47C3" w:rsidRDefault="00000000">
      <w:pPr>
        <w:pStyle w:val="Heading2"/>
      </w:pPr>
      <w:r>
        <w:t>FCC Proposal Withdrawal (2025)</w:t>
      </w:r>
    </w:p>
    <w:p w14:paraId="0AE56E1E" w14:textId="77777777" w:rsidR="008F47C3" w:rsidRDefault="00000000">
      <w:pPr>
        <w:spacing w:after="120"/>
      </w:pPr>
      <w:r>
        <w:t>The FCC under former Chair Rosenworcel proposed allowing residents in MDUs/HOAs to opt out of mandatory bulk billing agreements. Chairman Carr withdrew the proposal in 2025.</w:t>
      </w:r>
    </w:p>
    <w:p w14:paraId="1EBE1EA3" w14:textId="77777777" w:rsidR="008F47C3" w:rsidRDefault="00000000">
      <w:pPr>
        <w:spacing w:after="120"/>
      </w:pPr>
      <w:r>
        <w:t>NMHC, NAA, and RETTC celebrated the withdrawal. NMHC President Sharon Wilson Géno stated it was "a huge win for renters."</w:t>
      </w:r>
    </w:p>
    <w:p w14:paraId="7EAA0D5B" w14:textId="77777777" w:rsidR="008F47C3" w:rsidRDefault="00000000">
      <w:pPr>
        <w:spacing w:after="120"/>
      </w:pPr>
      <w:r>
        <w:t>The FCC's 47 CFR 76.2000 prohibits exclusivity clauses, but bulk billing agreements remain enforceable.</w:t>
      </w:r>
    </w:p>
    <w:p w14:paraId="5CCF5A76" w14:textId="77777777" w:rsidR="008F47C3" w:rsidRDefault="00000000">
      <w:pPr>
        <w:spacing w:after="120"/>
      </w:pPr>
      <w:r>
        <w:t>Source: cordcuttersnews.com/fcc-withdraws-proposal-to-ban-apartments-hoas-from-forcing-people-to-pay-for-cable-tv-internet/, blog.convergedservicesinc.com</w:t>
      </w:r>
    </w:p>
    <w:p w14:paraId="19CE4B31" w14:textId="77777777" w:rsidR="008F47C3" w:rsidRDefault="008F47C3">
      <w:pPr>
        <w:spacing w:after="120"/>
      </w:pPr>
    </w:p>
    <w:p w14:paraId="1A2766FA" w14:textId="77777777" w:rsidR="008F47C3" w:rsidRDefault="00000000">
      <w:pPr>
        <w:pStyle w:val="Heading2"/>
      </w:pPr>
      <w:r>
        <w:t>FTC v. Greystar (2025)</w:t>
      </w:r>
    </w:p>
    <w:p w14:paraId="74A645EE" w14:textId="77777777" w:rsidR="008F47C3" w:rsidRDefault="00000000">
      <w:pPr>
        <w:spacing w:after="120"/>
      </w:pPr>
      <w:r>
        <w:lastRenderedPageBreak/>
        <w:t>FTC and State of Colorado filed a complaint against Greystar for hidden junk fees. Per the complaint, Greystar advertised low monthly rents then charged hundreds of dollars in fees including:</w:t>
      </w:r>
    </w:p>
    <w:p w14:paraId="29D5B5BF" w14:textId="77777777" w:rsidR="008F47C3" w:rsidRDefault="00000000">
      <w:pPr>
        <w:pStyle w:val="ListParagraph"/>
        <w:numPr>
          <w:ilvl w:val="0"/>
          <w:numId w:val="2"/>
        </w:numPr>
      </w:pPr>
      <w:r>
        <w:t>Valet trash fees</w:t>
      </w:r>
    </w:p>
    <w:p w14:paraId="06AA24A6" w14:textId="77777777" w:rsidR="008F47C3" w:rsidRDefault="00000000">
      <w:pPr>
        <w:pStyle w:val="ListParagraph"/>
        <w:numPr>
          <w:ilvl w:val="0"/>
          <w:numId w:val="2"/>
        </w:numPr>
      </w:pPr>
      <w:r>
        <w:t>Package handling fees</w:t>
      </w:r>
    </w:p>
    <w:p w14:paraId="484CB9FD" w14:textId="77777777" w:rsidR="008F47C3" w:rsidRDefault="00000000">
      <w:pPr>
        <w:pStyle w:val="ListParagraph"/>
        <w:numPr>
          <w:ilvl w:val="0"/>
          <w:numId w:val="2"/>
        </w:numPr>
      </w:pPr>
      <w:r>
        <w:t>Utility fees</w:t>
      </w:r>
    </w:p>
    <w:p w14:paraId="4287F5E7" w14:textId="77777777" w:rsidR="008F47C3" w:rsidRDefault="00000000">
      <w:pPr>
        <w:pStyle w:val="ListParagraph"/>
        <w:numPr>
          <w:ilvl w:val="0"/>
          <w:numId w:val="2"/>
        </w:numPr>
      </w:pPr>
      <w:r>
        <w:t>Fees to distribute utility bills</w:t>
      </w:r>
    </w:p>
    <w:p w14:paraId="74F17455" w14:textId="77777777" w:rsidR="008F47C3" w:rsidRDefault="00000000">
      <w:pPr>
        <w:pStyle w:val="ListParagraph"/>
        <w:numPr>
          <w:ilvl w:val="0"/>
          <w:numId w:val="2"/>
        </w:numPr>
      </w:pPr>
      <w:r>
        <w:t>"Verification fees" when consumers use non-Greystar renters' insurance</w:t>
      </w:r>
    </w:p>
    <w:p w14:paraId="6E08E3C7" w14:textId="77777777" w:rsidR="008F47C3" w:rsidRDefault="00000000">
      <w:pPr>
        <w:pStyle w:val="ListParagraph"/>
        <w:numPr>
          <w:ilvl w:val="0"/>
          <w:numId w:val="2"/>
        </w:numPr>
      </w:pPr>
      <w:r>
        <w:t>Media/smart home packages</w:t>
      </w:r>
    </w:p>
    <w:p w14:paraId="66172FB8" w14:textId="77777777" w:rsidR="008F47C3" w:rsidRDefault="00000000">
      <w:pPr>
        <w:spacing w:after="120"/>
      </w:pPr>
      <w:r>
        <w:t>Per FTC: consumers cannot opt out of these fees even if they do not want or use the related services.</w:t>
      </w:r>
    </w:p>
    <w:p w14:paraId="228E8B60" w14:textId="77777777" w:rsidR="008F47C3" w:rsidRDefault="00000000">
      <w:pPr>
        <w:spacing w:after="120"/>
      </w:pPr>
      <w:r>
        <w:t>Source: ftc.gov/news-events/news/press-releases/2025/01/ftc-state-colorado-take-action-against-greystar</w:t>
      </w:r>
    </w:p>
    <w:p w14:paraId="51859A12" w14:textId="77777777" w:rsidR="008F47C3" w:rsidRDefault="008F47C3">
      <w:pPr>
        <w:spacing w:after="120"/>
      </w:pPr>
    </w:p>
    <w:p w14:paraId="0D748739" w14:textId="77777777" w:rsidR="008F47C3" w:rsidRDefault="00000000">
      <w:pPr>
        <w:pStyle w:val="Heading1"/>
      </w:pPr>
      <w:r>
        <w:t>Section 4: Industries That Routinely Face Exactions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8F47C3" w14:paraId="451507C4"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4A7451A6" w14:textId="77777777" w:rsidR="008F47C3" w:rsidRDefault="00000000">
            <w:r>
              <w:rPr>
                <w:b/>
                <w:bCs/>
                <w:color w:val="FFFFFF"/>
              </w:rPr>
              <w:t>Industry</w:t>
            </w:r>
          </w:p>
        </w:tc>
        <w:tc>
          <w:tcPr>
            <w:tcW w:w="25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6B6D3321" w14:textId="77777777" w:rsidR="008F47C3" w:rsidRDefault="00000000">
            <w:r>
              <w:rPr>
                <w:b/>
                <w:bCs/>
                <w:color w:val="FFFFFF"/>
              </w:rPr>
              <w:t>Who Pays</w:t>
            </w:r>
          </w:p>
        </w:tc>
        <w:tc>
          <w:tcPr>
            <w:tcW w:w="25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574F736C" w14:textId="77777777" w:rsidR="008F47C3" w:rsidRDefault="00000000">
            <w:r>
              <w:rPr>
                <w:b/>
                <w:bCs/>
                <w:color w:val="FFFFFF"/>
              </w:rPr>
              <w:t>Who Collects</w:t>
            </w:r>
          </w:p>
        </w:tc>
        <w:tc>
          <w:tcPr>
            <w:tcW w:w="25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1E0BC86F" w14:textId="77777777" w:rsidR="008F47C3" w:rsidRDefault="00000000">
            <w:r>
              <w:rPr>
                <w:b/>
                <w:bCs/>
                <w:color w:val="FFFFFF"/>
              </w:rPr>
              <w:t>Downstream Capture Angle</w:t>
            </w:r>
          </w:p>
        </w:tc>
      </w:tr>
      <w:tr w:rsidR="008F47C3" w14:paraId="67A43A5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7C1F1" w14:textId="77777777" w:rsidR="008F47C3" w:rsidRDefault="00000000">
            <w:r>
              <w:t>Housing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82F4A" w14:textId="77777777" w:rsidR="008F47C3" w:rsidRDefault="00000000">
            <w:r>
              <w:t>Greystar, Lennar, DR Horton, Alliance, etc.</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0393" w14:textId="77777777" w:rsidR="008F47C3" w:rsidRDefault="00000000">
            <w:r>
              <w:t>City + Utility Districts + Schools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4E223" w14:textId="77777777" w:rsidR="008F47C3" w:rsidRDefault="00000000">
            <w:r>
              <w:t>HOA contractors, bulk telecom, affiliated services</w:t>
            </w:r>
          </w:p>
        </w:tc>
      </w:tr>
      <w:tr w:rsidR="008F47C3" w14:paraId="398E38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F35CF" w14:textId="77777777" w:rsidR="008F47C3" w:rsidRDefault="00000000">
            <w:r>
              <w:t>Telecom</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18FF" w14:textId="77777777" w:rsidR="008F47C3" w:rsidRDefault="00000000">
            <w:r>
              <w:t>Comcast, AT&amp;T, Verizon, Charter</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BD76" w14:textId="77777777" w:rsidR="008F47C3" w:rsidRDefault="00000000">
            <w:r>
              <w:t>City (franchise fee, typically 5% gross)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3500" w14:textId="77777777" w:rsidR="008F47C3" w:rsidRDefault="00000000">
            <w:r>
              <w:t>Become pre-selected vendor in HOA bulk contracts</w:t>
            </w:r>
          </w:p>
        </w:tc>
      </w:tr>
      <w:tr w:rsidR="008F47C3" w14:paraId="2E24F9B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682E" w14:textId="77777777" w:rsidR="008F47C3" w:rsidRDefault="00000000">
            <w:r>
              <w:t>Oil &amp; Gas / Pipelines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6510" w14:textId="77777777" w:rsidR="008F47C3" w:rsidRDefault="00000000">
            <w:r>
              <w:t>Kinder Morgan, Williams, Energy Transfer</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1BAB4" w14:textId="77777777" w:rsidR="008F47C3" w:rsidRDefault="00000000">
            <w:r>
              <w:t>FERC (federal) + state + local</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6575" w14:textId="77777777" w:rsidR="008F47C3" w:rsidRDefault="00000000">
            <w:r>
              <w:t>Environmental mitigation consultants</w:t>
            </w:r>
          </w:p>
        </w:tc>
      </w:tr>
      <w:tr w:rsidR="008F47C3" w14:paraId="15161B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D4DE" w14:textId="77777777" w:rsidR="008F47C3" w:rsidRDefault="00000000">
            <w:r>
              <w:t>Renewable Energy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3E5C" w14:textId="77777777" w:rsidR="008F47C3" w:rsidRDefault="00000000">
            <w:r>
              <w:t>NextEra, Brookfield Renewables, Ørsted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36F9" w14:textId="77777777" w:rsidR="008F47C3" w:rsidRDefault="00000000">
            <w:r>
              <w:t>County (SUPs, CUPs)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1C959" w14:textId="77777777" w:rsidR="008F47C3" w:rsidRDefault="00000000">
            <w:r>
              <w:t>Decommissioning bond consultants</w:t>
            </w:r>
          </w:p>
        </w:tc>
      </w:tr>
      <w:tr w:rsidR="008F47C3" w14:paraId="00DBD9D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8B705" w14:textId="77777777" w:rsidR="008F47C3" w:rsidRDefault="00000000">
            <w:r>
              <w:t>Mining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1E7ED" w14:textId="77777777" w:rsidR="008F47C3" w:rsidRDefault="00000000">
            <w:r>
              <w:t>Rio Tinto, Freeport-McMoRan, Newmont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B2FEA" w14:textId="77777777" w:rsidR="008F47C3" w:rsidRDefault="00000000">
            <w:r>
              <w:t>Federal (BLM) + state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9DC0E" w14:textId="77777777" w:rsidR="008F47C3" w:rsidRDefault="00000000">
            <w:r>
              <w:t>Reclamation contractors (often inadequate bonds)</w:t>
            </w:r>
          </w:p>
        </w:tc>
      </w:tr>
      <w:tr w:rsidR="008F47C3" w14:paraId="36C58AE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08491" w14:textId="77777777" w:rsidR="008F47C3" w:rsidRDefault="00000000">
            <w:r>
              <w:t>Cannabis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6D63" w14:textId="77777777" w:rsidR="008F47C3" w:rsidRDefault="00000000">
            <w:r>
              <w:t>Curaleaf, Green Thumb, Trulieve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37BF2" w14:textId="77777777" w:rsidR="008F47C3" w:rsidRDefault="00000000">
            <w:r>
              <w:t>City (licensing + equity fees)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6B049" w14:textId="77777777" w:rsidR="008F47C3" w:rsidRDefault="00000000">
            <w:r>
              <w:t>Equity program administrators</w:t>
            </w:r>
          </w:p>
        </w:tc>
      </w:tr>
      <w:tr w:rsidR="008F47C3" w14:paraId="48F47C4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9EF5" w14:textId="77777777" w:rsidR="008F47C3" w:rsidRDefault="00000000">
            <w:r>
              <w:t>Casinos / Gaming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1F651" w14:textId="77777777" w:rsidR="008F47C3" w:rsidRDefault="00000000">
            <w:r>
              <w:t>MGM, Caesars, Wynn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36F0C" w14:textId="77777777" w:rsidR="008F47C3" w:rsidRDefault="00000000">
            <w:r>
              <w:t>State (gaming commissions)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7EF4F" w14:textId="77777777" w:rsidR="008F47C3" w:rsidRDefault="00000000">
            <w:r>
              <w:t>"Community benefit" recipients</w:t>
            </w:r>
          </w:p>
        </w:tc>
      </w:tr>
      <w:tr w:rsidR="008F47C3" w14:paraId="7B5FB9D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04359" w14:textId="77777777" w:rsidR="008F47C3" w:rsidRDefault="00000000">
            <w:r>
              <w:t>Big Box Retail</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96D5" w14:textId="77777777" w:rsidR="008F47C3" w:rsidRDefault="00000000">
            <w:r>
              <w:t>Walmart, Target, Amazon distribution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39A0" w14:textId="77777777" w:rsidR="008F47C3" w:rsidRDefault="00000000">
            <w:r>
              <w:t>City (traffic impact)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E9D92" w14:textId="77777777" w:rsidR="008F47C3" w:rsidRDefault="00000000">
            <w:r>
              <w:t>Traffic engineering consultants</w:t>
            </w:r>
          </w:p>
        </w:tc>
      </w:tr>
    </w:tbl>
    <w:p w14:paraId="226931BE" w14:textId="77777777" w:rsidR="008F47C3" w:rsidRDefault="008F47C3">
      <w:pPr>
        <w:spacing w:after="120"/>
      </w:pPr>
    </w:p>
    <w:p w14:paraId="38A60830" w14:textId="77777777" w:rsidR="008F47C3" w:rsidRDefault="00000000">
      <w:pPr>
        <w:spacing w:after="120"/>
      </w:pPr>
      <w:r>
        <w:lastRenderedPageBreak/>
        <w:t>The through-line: in nearly every case, the exaction creates a downstream captive revenue stream for someone the permit-granting authority has influence over choosing. The "public benefit" framing is consistent. The beneficiary accountability is not.</w:t>
      </w:r>
    </w:p>
    <w:p w14:paraId="5494DBD3" w14:textId="77777777" w:rsidR="008F47C3" w:rsidRDefault="008F47C3">
      <w:pPr>
        <w:spacing w:after="120"/>
      </w:pPr>
    </w:p>
    <w:p w14:paraId="6DC204F1" w14:textId="77777777" w:rsidR="008F47C3" w:rsidRDefault="00000000">
      <w:pPr>
        <w:pStyle w:val="Heading1"/>
      </w:pPr>
      <w:r>
        <w:t>Section 5: Tax Treatment of Exactions</w:t>
      </w:r>
    </w:p>
    <w:p w14:paraId="474482D8" w14:textId="77777777" w:rsidR="008F47C3" w:rsidRDefault="00000000">
      <w:pPr>
        <w:pStyle w:val="Heading2"/>
      </w:pPr>
      <w:r>
        <w:t>IRS Revenue Ruling 2002-9</w:t>
      </w:r>
    </w:p>
    <w:p w14:paraId="2A5C6486" w14:textId="77777777" w:rsidR="008F47C3" w:rsidRDefault="00000000">
      <w:pPr>
        <w:spacing w:after="120"/>
      </w:pPr>
      <w:r>
        <w:t>The IRS settled the treatment of impact fees for housing developers in Rev. Rul. 2002-9, building on Oriole Homes Corp. v. U.S., 705 F.Supp. 1531 (S.D. Fla. 1989).</w:t>
      </w:r>
    </w:p>
    <w:p w14:paraId="35892A2B" w14:textId="77777777" w:rsidR="008F47C3" w:rsidRDefault="00000000">
      <w:pPr>
        <w:spacing w:after="120"/>
      </w:pPr>
      <w:r>
        <w:t>Holding: impact fees (road, educational, regional park, municipal park) required for approval and recordation of subdivision plats are capital expenditures, to be capitalized as a development cost and deducted pro rata as each house is sold.</w:t>
      </w:r>
    </w:p>
    <w:p w14:paraId="6A238404" w14:textId="77777777" w:rsidR="008F47C3" w:rsidRDefault="00000000">
      <w:pPr>
        <w:spacing w:after="120"/>
      </w:pPr>
      <w:r>
        <w:t>Court reasoning: "the impact fees increased the value of the subdivisions and secured a benefit which lasted beyond the taxable year in which they were incurred."</w:t>
      </w:r>
    </w:p>
    <w:p w14:paraId="6F8C89D5" w14:textId="77777777" w:rsidR="008F47C3" w:rsidRDefault="00000000">
      <w:pPr>
        <w:spacing w:after="120"/>
      </w:pPr>
      <w:r>
        <w:t>Source: irs.gov/pub/irs-drop/rr-02-9.pdf</w:t>
      </w:r>
    </w:p>
    <w:p w14:paraId="7D909E4C" w14:textId="77777777" w:rsidR="008F47C3" w:rsidRDefault="008F47C3">
      <w:pPr>
        <w:spacing w:after="120"/>
      </w:pPr>
    </w:p>
    <w:p w14:paraId="3015B56F" w14:textId="77777777" w:rsidR="008F47C3" w:rsidRDefault="00000000">
      <w:pPr>
        <w:pStyle w:val="Heading2"/>
      </w:pPr>
      <w:r>
        <w:t>Tax Treatment by Industry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8F47C3" w14:paraId="40B83D59"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4BDE257C" w14:textId="77777777" w:rsidR="008F47C3" w:rsidRDefault="00000000">
            <w:r>
              <w:rPr>
                <w:b/>
                <w:bCs/>
                <w:color w:val="FFFFFF"/>
              </w:rPr>
              <w:t>Industry</w:t>
            </w:r>
          </w:p>
        </w:tc>
        <w:tc>
          <w:tcPr>
            <w:tcW w:w="351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2450EECC" w14:textId="77777777" w:rsidR="008F47C3" w:rsidRDefault="00000000">
            <w:r>
              <w:rPr>
                <w:b/>
                <w:bCs/>
                <w:color w:val="FFFFFF"/>
              </w:rPr>
              <w:t>Treatment</w:t>
            </w:r>
          </w:p>
        </w:tc>
        <w:tc>
          <w:tcPr>
            <w:tcW w:w="351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4FE5DF66" w14:textId="77777777" w:rsidR="008F47C3" w:rsidRDefault="00000000">
            <w:r>
              <w:rPr>
                <w:b/>
                <w:bCs/>
                <w:color w:val="FFFFFF"/>
              </w:rPr>
              <w:t>Deductible?</w:t>
            </w:r>
          </w:p>
        </w:tc>
      </w:tr>
      <w:tr w:rsidR="008F47C3" w14:paraId="4FB1B42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64B62" w14:textId="77777777" w:rsidR="008F47C3" w:rsidRDefault="00000000">
            <w:r>
              <w:t>Housing developers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6D674" w14:textId="77777777" w:rsidR="008F47C3" w:rsidRDefault="00000000">
            <w:r>
              <w:t>Capital expenditure; deducted pro rata at sale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DF089" w14:textId="77777777" w:rsidR="008F47C3" w:rsidRDefault="00000000">
            <w:r>
              <w:t>Yes — deferred to sale</w:t>
            </w:r>
          </w:p>
        </w:tc>
      </w:tr>
      <w:tr w:rsidR="008F47C3" w14:paraId="3305C82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03B9" w14:textId="77777777" w:rsidR="008F47C3" w:rsidRDefault="00000000">
            <w:r>
              <w:t>Telecom (franchise fees)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BBF4" w14:textId="77777777" w:rsidR="008F47C3" w:rsidRDefault="00000000">
            <w:r>
              <w:t>Ordinary business expense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611F" w14:textId="77777777" w:rsidR="008F47C3" w:rsidRDefault="00000000">
            <w:r>
              <w:t>Yes — immediately</w:t>
            </w:r>
          </w:p>
        </w:tc>
      </w:tr>
      <w:tr w:rsidR="008F47C3" w14:paraId="4218C85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CCE4B" w14:textId="77777777" w:rsidR="008F47C3" w:rsidRDefault="00000000">
            <w:r>
              <w:t>Oil &amp; Gas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307AF" w14:textId="77777777" w:rsidR="008F47C3" w:rsidRDefault="00000000">
            <w:r>
              <w:t>Deductible as operating costs / royalties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AA8C1" w14:textId="77777777" w:rsidR="008F47C3" w:rsidRDefault="00000000">
            <w:r>
              <w:t>Yes</w:t>
            </w:r>
          </w:p>
        </w:tc>
      </w:tr>
      <w:tr w:rsidR="008F47C3" w14:paraId="38D2863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4503" w14:textId="77777777" w:rsidR="008F47C3" w:rsidRDefault="00000000">
            <w:r>
              <w:t>Mining (reclamation bonds)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65FA7" w14:textId="77777777" w:rsidR="008F47C3" w:rsidRDefault="00000000">
            <w:r>
              <w:t>Bonds not deducted until spent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06229" w14:textId="77777777" w:rsidR="008F47C3" w:rsidRDefault="00000000">
            <w:r>
              <w:t>Partial / deferred</w:t>
            </w:r>
          </w:p>
        </w:tc>
      </w:tr>
      <w:tr w:rsidR="008F47C3" w14:paraId="7006D80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435E9" w14:textId="77777777" w:rsidR="008F47C3" w:rsidRDefault="00000000">
            <w:r>
              <w:t>Renewable Energy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5197E" w14:textId="77777777" w:rsidR="008F47C3" w:rsidRDefault="00000000">
            <w:r>
              <w:t>Structured to maximize depreciation benefits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FB52F" w14:textId="77777777" w:rsidR="008F47C3" w:rsidRDefault="00000000">
            <w:r>
              <w:t>Yes — aggressively</w:t>
            </w:r>
          </w:p>
        </w:tc>
      </w:tr>
      <w:tr w:rsidR="008F47C3" w14:paraId="255C247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ADD29" w14:textId="77777777" w:rsidR="008F47C3" w:rsidRDefault="00000000">
            <w:r>
              <w:t>Cannabis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34C88" w14:textId="77777777" w:rsidR="008F47C3" w:rsidRDefault="00000000">
            <w:r>
              <w:t>Section 280E blocks most deductions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BC0B2" w14:textId="77777777" w:rsidR="008F47C3" w:rsidRDefault="00000000">
            <w:r>
              <w:t>NO — almost entirely blocked</w:t>
            </w:r>
          </w:p>
        </w:tc>
      </w:tr>
    </w:tbl>
    <w:p w14:paraId="5AF08F3F" w14:textId="77777777" w:rsidR="008F47C3" w:rsidRDefault="008F47C3">
      <w:pPr>
        <w:spacing w:after="120"/>
      </w:pPr>
    </w:p>
    <w:p w14:paraId="59B45ACC" w14:textId="77777777" w:rsidR="008F47C3" w:rsidRDefault="00000000">
      <w:pPr>
        <w:pStyle w:val="Heading2"/>
      </w:pPr>
      <w:r>
        <w:t>The Cannabis Exception</w:t>
      </w:r>
    </w:p>
    <w:p w14:paraId="770C2810" w14:textId="77777777" w:rsidR="008F47C3" w:rsidRDefault="00000000">
      <w:pPr>
        <w:spacing w:after="120"/>
      </w:pPr>
      <w:r>
        <w:t>Cannabis operators pay some of the most punishing exaction-style permit conditions of any industry — equity contributions, community impact fees, license fees. Because federal law classifies cannabis as Schedule I, Section 280E blocks them from deducting ordinary business expenses. They pay the exaction, can't deduct it, and pay corporate tax on gross profit rather than net income.</w:t>
      </w:r>
    </w:p>
    <w:p w14:paraId="2869D37E" w14:textId="77777777" w:rsidR="008F47C3" w:rsidRDefault="00000000">
      <w:pPr>
        <w:spacing w:after="120"/>
      </w:pPr>
      <w:r>
        <w:lastRenderedPageBreak/>
        <w:t>Every other industry on the list gets at least some deduction.</w:t>
      </w:r>
    </w:p>
    <w:p w14:paraId="7EE34EFA" w14:textId="77777777" w:rsidR="008F47C3" w:rsidRDefault="008F47C3">
      <w:pPr>
        <w:spacing w:after="120"/>
      </w:pPr>
    </w:p>
    <w:p w14:paraId="7159D496" w14:textId="77777777" w:rsidR="008F47C3" w:rsidRDefault="00000000">
      <w:pPr>
        <w:pStyle w:val="Heading1"/>
      </w:pPr>
      <w:r>
        <w:t>Section 6: How We Got Here — Prop 13 and the Infrastructure Generation Problem</w:t>
      </w:r>
    </w:p>
    <w:p w14:paraId="1E3D83CB" w14:textId="77777777" w:rsidR="008F47C3" w:rsidRDefault="00000000">
      <w:pPr>
        <w:pStyle w:val="Heading2"/>
      </w:pPr>
      <w:r>
        <w:t>The Prop 13 Revenue Collapse</w:t>
      </w:r>
    </w:p>
    <w:p w14:paraId="38F5BB9E" w14:textId="77777777" w:rsidR="008F47C3" w:rsidRDefault="00000000">
      <w:pPr>
        <w:spacing w:after="120"/>
      </w:pPr>
      <w:r>
        <w:t>California Proposition 13 (1978) restricts property tax increases. Effects on local revenue:</w:t>
      </w:r>
    </w:p>
    <w:p w14:paraId="462B7111" w14:textId="77777777" w:rsidR="008F47C3" w:rsidRDefault="00000000">
      <w:pPr>
        <w:pStyle w:val="ListParagraph"/>
        <w:numPr>
          <w:ilvl w:val="0"/>
          <w:numId w:val="2"/>
        </w:numPr>
      </w:pPr>
      <w:r>
        <w:t>Property tax revenue declined 53% immediately after passage</w:t>
      </w:r>
    </w:p>
    <w:p w14:paraId="0B9D7CC2" w14:textId="77777777" w:rsidR="008F47C3" w:rsidRDefault="00000000">
      <w:pPr>
        <w:pStyle w:val="ListParagraph"/>
        <w:numPr>
          <w:ilvl w:val="0"/>
          <w:numId w:val="2"/>
        </w:numPr>
      </w:pPr>
      <w:r>
        <w:t>Property tax fell from 58% of local revenue (1972) to 36% (2012)</w:t>
      </w:r>
    </w:p>
    <w:p w14:paraId="33C7E150" w14:textId="77777777" w:rsidR="008F47C3" w:rsidRDefault="00000000">
      <w:pPr>
        <w:pStyle w:val="ListParagraph"/>
        <w:numPr>
          <w:ilvl w:val="0"/>
          <w:numId w:val="2"/>
        </w:numPr>
      </w:pPr>
      <w:r>
        <w:t>After 1978, localities began to rely more heavily on fees and other exactions from new development to cover infrastructure and service needs</w:t>
      </w:r>
    </w:p>
    <w:p w14:paraId="161B94CE" w14:textId="77777777" w:rsidR="008F47C3" w:rsidRDefault="00000000">
      <w:pPr>
        <w:spacing w:after="120"/>
      </w:pPr>
      <w:r>
        <w:t>Source: cayimby.org/reports/the-impact-of-fees/, cayimby.org/blog/impact-fees-housing/</w:t>
      </w:r>
    </w:p>
    <w:p w14:paraId="3B28550A" w14:textId="77777777" w:rsidR="008F47C3" w:rsidRDefault="008F47C3">
      <w:pPr>
        <w:spacing w:after="120"/>
      </w:pPr>
    </w:p>
    <w:p w14:paraId="15532EF0" w14:textId="77777777" w:rsidR="008F47C3" w:rsidRDefault="00000000">
      <w:pPr>
        <w:pStyle w:val="Heading2"/>
      </w:pPr>
      <w:r>
        <w:t>The Infrastructure Already Exists Problem</w:t>
      </w:r>
    </w:p>
    <w:p w14:paraId="333C598C" w14:textId="77777777" w:rsidR="008F47C3" w:rsidRDefault="00000000">
      <w:pPr>
        <w:spacing w:after="120"/>
      </w:pPr>
      <w:r>
        <w:t>Impact fees were originally designed to recover growth-related infrastructure costs — new roads, new water lines, new sewer capacity that new development actually requires. The word that matters: new.</w:t>
      </w:r>
    </w:p>
    <w:p w14:paraId="2D4417B8" w14:textId="77777777" w:rsidR="008F47C3" w:rsidRDefault="00000000">
      <w:pPr>
        <w:spacing w:after="120"/>
      </w:pPr>
      <w:r>
        <w:t>From Texas Real Estate Research Center: "In the most extreme cases, infill development, or densification within already existing development with already existing infrastructure, may not require new infrastructure."</w:t>
      </w:r>
    </w:p>
    <w:p w14:paraId="284EA8BD" w14:textId="77777777" w:rsidR="008F47C3" w:rsidRDefault="00000000">
      <w:pPr>
        <w:spacing w:after="120"/>
      </w:pPr>
      <w:r>
        <w:t>From Strong Towns: "Water efficiency frees up capacity in existing water and sewer systems to accommodate new, infill development. In areas that also have declining population, there is likely to be even more excess capacity."</w:t>
      </w:r>
    </w:p>
    <w:p w14:paraId="6CAC2BA8" w14:textId="77777777" w:rsidR="008F47C3" w:rsidRDefault="00000000">
      <w:pPr>
        <w:spacing w:after="120"/>
      </w:pPr>
      <w:r>
        <w:t>The nexus study still finds a nexus. The fee still gets charged.</w:t>
      </w:r>
    </w:p>
    <w:p w14:paraId="2413B36F" w14:textId="77777777" w:rsidR="008F47C3" w:rsidRDefault="00000000">
      <w:pPr>
        <w:spacing w:after="120"/>
      </w:pPr>
      <w:r>
        <w:t>Sources: trerc.tamu.edu/article/impact-fees-and-costs-of-new-development-2321/, strongtowns.org</w:t>
      </w:r>
    </w:p>
    <w:p w14:paraId="22D77647" w14:textId="77777777" w:rsidR="008F47C3" w:rsidRDefault="008F47C3">
      <w:pPr>
        <w:spacing w:after="120"/>
      </w:pPr>
    </w:p>
    <w:p w14:paraId="3EE14A2D" w14:textId="77777777" w:rsidR="008F47C3" w:rsidRDefault="00000000">
      <w:pPr>
        <w:pStyle w:val="Heading2"/>
      </w:pPr>
      <w:r>
        <w:t>Triple Payment for Existing Infrastructure</w:t>
      </w:r>
    </w:p>
    <w:p w14:paraId="63E765A8" w14:textId="77777777" w:rsidR="008F47C3" w:rsidRDefault="00000000">
      <w:pPr>
        <w:spacing w:after="120"/>
      </w:pPr>
      <w:r>
        <w:t>From Evans-Cowley (impactfees.com): "A new household pays the exactions and impact fees, taxes that pay for the maintenance and rehabilitation of existing infrastructure, and service charges for the use of the existing infrastructure system. Some state enabling legislation requires that local governments provide a credit for the payments newcomers make that support existing facilities."</w:t>
      </w:r>
    </w:p>
    <w:p w14:paraId="3F33B88C" w14:textId="77777777" w:rsidR="008F47C3" w:rsidRDefault="00000000">
      <w:pPr>
        <w:spacing w:after="120"/>
      </w:pPr>
      <w:r>
        <w:t>Three separate payments for the same physical asset. The asset itself is publicly owned, tax-exempt, and was already paid for by a previous generation of buyers through their own exactions or subdivision improvements.</w:t>
      </w:r>
    </w:p>
    <w:p w14:paraId="3E3B9685" w14:textId="77777777" w:rsidR="008F47C3" w:rsidRDefault="008F47C3">
      <w:pPr>
        <w:spacing w:after="120"/>
      </w:pPr>
    </w:p>
    <w:p w14:paraId="0F0A46FC" w14:textId="77777777" w:rsidR="008F47C3" w:rsidRDefault="00000000">
      <w:pPr>
        <w:pStyle w:val="Heading1"/>
      </w:pPr>
      <w:r>
        <w:lastRenderedPageBreak/>
        <w:t>Section 7: The Utility Rate-of-Return Parallel</w:t>
      </w:r>
    </w:p>
    <w:p w14:paraId="1851DCC9" w14:textId="77777777" w:rsidR="008F47C3" w:rsidRDefault="00000000">
      <w:pPr>
        <w:pStyle w:val="Heading2"/>
      </w:pPr>
      <w:r>
        <w:t>The Cost-Plus-on-Capital Mechanism</w:t>
      </w:r>
    </w:p>
    <w:p w14:paraId="178FB715" w14:textId="77777777" w:rsidR="008F47C3" w:rsidRDefault="00000000">
      <w:pPr>
        <w:spacing w:after="120"/>
      </w:pPr>
      <w:r>
        <w:t>Investor-owned utilities operate under "cost-of-service" or "rate-of-return" regulation. State PUCs set rates so the utility recovers costs plus a guaranteed return on its rate base — typically 9–10%.</w:t>
      </w:r>
    </w:p>
    <w:p w14:paraId="7F6F4C9C" w14:textId="77777777" w:rsidR="008F47C3" w:rsidRDefault="00000000">
      <w:pPr>
        <w:spacing w:after="120"/>
      </w:pPr>
      <w:r>
        <w:t>Utility rates are built from two buckets:</w:t>
      </w:r>
    </w:p>
    <w:p w14:paraId="6BDAEE69" w14:textId="77777777" w:rsidR="008F47C3" w:rsidRDefault="00000000">
      <w:pPr>
        <w:pStyle w:val="ListParagraph"/>
        <w:numPr>
          <w:ilvl w:val="0"/>
          <w:numId w:val="2"/>
        </w:numPr>
      </w:pPr>
      <w:r>
        <w:rPr>
          <w:b/>
          <w:bCs/>
        </w:rPr>
        <w:t xml:space="preserve">Capital expenditures (CapEx): </w:t>
      </w:r>
      <w:r>
        <w:t>Things added to the rate base. The utility earns its authorized rate of return on the rate base every year, for the life of the asset.</w:t>
      </w:r>
    </w:p>
    <w:p w14:paraId="48F92802" w14:textId="77777777" w:rsidR="008F47C3" w:rsidRDefault="00000000">
      <w:pPr>
        <w:pStyle w:val="ListParagraph"/>
        <w:numPr>
          <w:ilvl w:val="0"/>
          <w:numId w:val="2"/>
        </w:numPr>
      </w:pPr>
      <w:r>
        <w:rPr>
          <w:b/>
          <w:bCs/>
        </w:rPr>
        <w:t xml:space="preserve">Operating expenses (OpEx): </w:t>
      </w:r>
      <w:r>
        <w:t>Labor, fuel, maintenance, vegetation management, repairs. Passed through to ratepayers dollar-for-dollar with no markup. Utility earns nothing.</w:t>
      </w:r>
    </w:p>
    <w:p w14:paraId="1980A3EE" w14:textId="77777777" w:rsidR="008F47C3" w:rsidRDefault="008F47C3">
      <w:pPr>
        <w:spacing w:after="120"/>
      </w:pPr>
    </w:p>
    <w:p w14:paraId="771D94B5" w14:textId="77777777" w:rsidR="008F47C3" w:rsidRDefault="00000000">
      <w:pPr>
        <w:pStyle w:val="Heading2"/>
      </w:pPr>
      <w:r>
        <w:t>The Averch-Johnson Effect</w:t>
      </w:r>
    </w:p>
    <w:p w14:paraId="44DEED3F" w14:textId="77777777" w:rsidR="008F47C3" w:rsidRDefault="00000000">
      <w:pPr>
        <w:spacing w:after="120"/>
      </w:pPr>
      <w:r>
        <w:t>Two projects with identical customer impact:</w:t>
      </w:r>
    </w:p>
    <w:p w14:paraId="37406FB7" w14:textId="77777777" w:rsidR="008F47C3" w:rsidRDefault="00000000">
      <w:pPr>
        <w:pStyle w:val="ListParagraph"/>
        <w:numPr>
          <w:ilvl w:val="0"/>
          <w:numId w:val="2"/>
        </w:numPr>
      </w:pPr>
      <w:r>
        <w:t>Option A: Spend $100M on maintenance/vegetation management over 10 years. OpEx. Utility recovers $100M. Profit: $0.</w:t>
      </w:r>
    </w:p>
    <w:p w14:paraId="3E0A938D" w14:textId="77777777" w:rsidR="008F47C3" w:rsidRDefault="00000000">
      <w:pPr>
        <w:pStyle w:val="ListParagraph"/>
        <w:numPr>
          <w:ilvl w:val="0"/>
          <w:numId w:val="2"/>
        </w:numPr>
      </w:pPr>
      <w:r>
        <w:t>Option B: Spend $100M building a new substation. CapEx. Rate base. Utility earns ~9.5% annually on declining balance for 30–40 years. Profit: ~$150M+.</w:t>
      </w:r>
    </w:p>
    <w:p w14:paraId="36CB5A6B" w14:textId="77777777" w:rsidR="008F47C3" w:rsidRDefault="00000000">
      <w:pPr>
        <w:spacing w:after="120"/>
      </w:pPr>
      <w:r>
        <w:t>Documented since 1962 (Averch-Johnson). Still operating. A rational utility executive picks B every time.</w:t>
      </w:r>
    </w:p>
    <w:p w14:paraId="32589EAD" w14:textId="77777777" w:rsidR="008F47C3" w:rsidRDefault="008F47C3">
      <w:pPr>
        <w:spacing w:after="120"/>
      </w:pPr>
    </w:p>
    <w:p w14:paraId="0CCC2A98" w14:textId="77777777" w:rsidR="008F47C3" w:rsidRDefault="00000000">
      <w:pPr>
        <w:pStyle w:val="Heading2"/>
      </w:pPr>
      <w:r>
        <w:t>Why Maintenance Gets Starved</w:t>
      </w:r>
    </w:p>
    <w:p w14:paraId="0F8AB13C" w14:textId="77777777" w:rsidR="008F47C3" w:rsidRDefault="00000000">
      <w:pPr>
        <w:spacing w:after="120"/>
      </w:pPr>
      <w:r>
        <w:t>Maintenance is worse than neutral in the incentive structure. If a utility maintains a pole well enough that it lasts 60 years instead of 40, they've delayed capital replacement that would add to rate base. They've suppressed their own profit growth. They did the right thing for customers and got punished for it by the regulatory mechanism.</w:t>
      </w:r>
    </w:p>
    <w:p w14:paraId="56BDFE1F" w14:textId="77777777" w:rsidR="008F47C3" w:rsidRDefault="00000000">
      <w:pPr>
        <w:spacing w:after="120"/>
      </w:pPr>
      <w:r>
        <w:t>This is why vegetation management budgets get cut before transmission expansion. It's why PG&amp;E deferred maintenance on the Caribou-Palermo line that sparked the Camp Fire. The inspection was OpEx. A new line would have been CapEx.</w:t>
      </w:r>
    </w:p>
    <w:p w14:paraId="51CAD55C" w14:textId="77777777" w:rsidR="008F47C3" w:rsidRDefault="008F47C3">
      <w:pPr>
        <w:spacing w:after="120"/>
      </w:pPr>
    </w:p>
    <w:p w14:paraId="6D680C0D" w14:textId="77777777" w:rsidR="008F47C3" w:rsidRDefault="00000000">
      <w:pPr>
        <w:pStyle w:val="Heading2"/>
      </w:pPr>
      <w:r>
        <w:t>The Reclassification Game</w:t>
      </w:r>
    </w:p>
    <w:p w14:paraId="4BA34290" w14:textId="77777777" w:rsidR="008F47C3" w:rsidRDefault="00000000">
      <w:pPr>
        <w:spacing w:after="120"/>
      </w:pPr>
      <w:r>
        <w:t>Utilities and regulators fight over what counts as capital vs. operating. "Grid modernization" and "grid hardening" programs are partly genuine need and partly a reclassification exercise — taking activities that used to be maintenance and rebranding them as capital improvements that earn a return.</w:t>
      </w:r>
    </w:p>
    <w:p w14:paraId="513D611C" w14:textId="77777777" w:rsidR="008F47C3" w:rsidRDefault="008F47C3">
      <w:pPr>
        <w:spacing w:after="120"/>
      </w:pPr>
    </w:p>
    <w:p w14:paraId="3AC33DFF" w14:textId="77777777" w:rsidR="008F47C3" w:rsidRDefault="00000000">
      <w:pPr>
        <w:pStyle w:val="Heading2"/>
      </w:pPr>
      <w:r>
        <w:t>The Parallel Stated Cleanly</w:t>
      </w:r>
    </w:p>
    <w:p w14:paraId="6F2E3CC5" w14:textId="77777777" w:rsidR="008F47C3" w:rsidRDefault="00000000">
      <w:pPr>
        <w:spacing w:after="120"/>
      </w:pPr>
      <w:r>
        <w:lastRenderedPageBreak/>
        <w:t>Utilities: earn a return on capital deployed. Zero return on keeping it working. → Build new things, let old things rot.</w:t>
      </w:r>
    </w:p>
    <w:p w14:paraId="5BDE494D" w14:textId="77777777" w:rsidR="008F47C3" w:rsidRDefault="00000000">
      <w:pPr>
        <w:spacing w:after="120"/>
      </w:pPr>
      <w:r>
        <w:t>Exactions: one-time fee to build new infrastructure. Zero mechanism tying that fee to long-term maintainability. → Build to minimum spec that satisfies the permit, walk away, let the next party deal with consequences.</w:t>
      </w:r>
    </w:p>
    <w:p w14:paraId="79AEF2D9" w14:textId="77777777" w:rsidR="008F47C3" w:rsidRDefault="00000000">
      <w:pPr>
        <w:spacing w:after="120"/>
      </w:pPr>
      <w:r>
        <w:t>Both systems price the moment of construction and ignore the lifecycle. Incentives terminate at the ribbon-cutting.</w:t>
      </w:r>
    </w:p>
    <w:p w14:paraId="47A773E8" w14:textId="77777777" w:rsidR="008F47C3" w:rsidRDefault="008F47C3">
      <w:pPr>
        <w:spacing w:after="120"/>
      </w:pPr>
    </w:p>
    <w:p w14:paraId="7E165588" w14:textId="77777777" w:rsidR="008F47C3" w:rsidRDefault="00000000">
      <w:pPr>
        <w:pStyle w:val="Heading1"/>
      </w:pPr>
      <w:r>
        <w:t>Section 8: The Extraction Stack</w:t>
      </w:r>
    </w:p>
    <w:p w14:paraId="39DC42D5" w14:textId="77777777" w:rsidR="008F47C3" w:rsidRDefault="00000000">
      <w:pPr>
        <w:spacing w:after="120"/>
      </w:pPr>
      <w:r>
        <w:rPr>
          <w:i/>
        </w:rPr>
        <w:t>The layers below are a current working enumeration drawn from conversation. More or fewer may emerge as research completes. The count is not locked.</w:t>
      </w:r>
    </w:p>
    <w:p w14:paraId="39DC42D6" w14:textId="77777777" w:rsidR="008F47C3" w:rsidRDefault="00000000">
      <w:pPr>
        <w:spacing w:after="120"/>
      </w:pPr>
      <w:r>
        <w:t>Walking through what a developer captures on a single unit when all mechanisms are active:</w:t>
      </w:r>
    </w:p>
    <w:p w14:paraId="51FCCBF4" w14:textId="77777777" w:rsidR="008F47C3" w:rsidRDefault="008F47C3">
      <w:pPr>
        <w:spacing w:after="120"/>
      </w:pPr>
    </w:p>
    <w:p w14:paraId="6A294307" w14:textId="77777777" w:rsidR="008F47C3" w:rsidRDefault="00000000">
      <w:pPr>
        <w:pStyle w:val="Heading3"/>
      </w:pPr>
      <w:r>
        <w:t>Layer 1 — Construction margin</w:t>
      </w:r>
    </w:p>
    <w:p w14:paraId="4BFD5941" w14:textId="77777777" w:rsidR="008F47C3" w:rsidRDefault="00000000">
      <w:pPr>
        <w:spacing w:after="120"/>
      </w:pPr>
      <w:r>
        <w:t>Standard developer profit on building the unit itself.</w:t>
      </w:r>
    </w:p>
    <w:p w14:paraId="5155FA2A" w14:textId="77777777" w:rsidR="008F47C3" w:rsidRDefault="00000000">
      <w:pPr>
        <w:pStyle w:val="Heading3"/>
      </w:pPr>
      <w:r>
        <w:t>Layer 2 — Exaction construction margin</w:t>
      </w:r>
    </w:p>
    <w:p w14:paraId="6A6AF825" w14:textId="77777777" w:rsidR="008F47C3" w:rsidRDefault="00000000">
      <w:pPr>
        <w:spacing w:after="120"/>
      </w:pPr>
      <w:r>
        <w:t>Affiliated contractor builds the required public-benefit infrastructure and books a margin on that work, invoiced to the developer entity. This is the layer the constitutional doctrine (Nollan/Dolan/Koontz) regulates.</w:t>
      </w:r>
    </w:p>
    <w:p w14:paraId="24BE89F2" w14:textId="77777777" w:rsidR="008F47C3" w:rsidRDefault="00000000">
      <w:pPr>
        <w:pStyle w:val="Heading3"/>
      </w:pPr>
      <w:r>
        <w:t>Layer 3 — Tax dump</w:t>
      </w:r>
    </w:p>
    <w:p w14:paraId="3CBECEF9" w14:textId="77777777" w:rsidR="008F47C3" w:rsidRDefault="00000000">
      <w:pPr>
        <w:spacing w:after="120"/>
      </w:pPr>
      <w:r>
        <w:t>Developer capitalizes the exaction cost (which includes the affiliated contractor's margin), deducts at sale per Rev. Rul. 2002-9, recovers roughly 21–37% from the federal taxpayer depending on entity structure. State tax adds more.</w:t>
      </w:r>
    </w:p>
    <w:p w14:paraId="7F16F9EC" w14:textId="77777777" w:rsidR="008F47C3" w:rsidRDefault="00000000">
      <w:pPr>
        <w:pStyle w:val="Heading3"/>
      </w:pPr>
      <w:r>
        <w:t>Layer 4 — Sale price pass-through</w:t>
      </w:r>
    </w:p>
    <w:p w14:paraId="2F7EE046" w14:textId="77777777" w:rsidR="008F47C3" w:rsidRDefault="00000000">
      <w:pPr>
        <w:spacing w:after="120"/>
      </w:pPr>
      <w:r>
        <w:t>Full exaction amount embedded in unit price. Buyer pays. Developer has now been paid for the exaction by the buyer and partially reimbursed by the IRS. The end buyer gets no deduction because they're buying a personal residence.</w:t>
      </w:r>
    </w:p>
    <w:p w14:paraId="316EBBEA" w14:textId="77777777" w:rsidR="008F47C3" w:rsidRDefault="00000000">
      <w:pPr>
        <w:pStyle w:val="Heading3"/>
      </w:pPr>
      <w:r>
        <w:t>Layer 5 — HOA lock-in</w:t>
      </w:r>
    </w:p>
    <w:p w14:paraId="002BDBB9" w14:textId="77777777" w:rsidR="008F47C3" w:rsidRDefault="00000000">
      <w:pPr>
        <w:spacing w:after="120"/>
      </w:pPr>
      <w:r>
        <w:t>During declarant control, developer signs long-term contracts with affiliated or preferred maintenance, management, and service vendors. These persist after turnover.</w:t>
      </w:r>
    </w:p>
    <w:p w14:paraId="2D990846" w14:textId="77777777" w:rsidR="008F47C3" w:rsidRDefault="00000000">
      <w:pPr>
        <w:pStyle w:val="Heading3"/>
      </w:pPr>
      <w:r>
        <w:t>Layer 6 — Recurring extraction</w:t>
      </w:r>
    </w:p>
    <w:p w14:paraId="62DF2485" w14:textId="77777777" w:rsidR="008F47C3" w:rsidRDefault="00000000">
      <w:pPr>
        <w:spacing w:after="120"/>
      </w:pPr>
      <w:r>
        <w:t>Residents pay monthly assessments that flow to pre-selected vendors. If developer or affiliates own the property management company, landscaping company, or bulk service vendors, recurring revenue flows to the corporate family for the life of the community.</w:t>
      </w:r>
    </w:p>
    <w:p w14:paraId="2588E84C" w14:textId="77777777" w:rsidR="008F47C3" w:rsidRDefault="00000000">
      <w:pPr>
        <w:pStyle w:val="Heading3"/>
      </w:pPr>
      <w:r>
        <w:t>Layer 7 — Resale</w:t>
      </w:r>
    </w:p>
    <w:p w14:paraId="10446741" w14:textId="77777777" w:rsidR="008F47C3" w:rsidRDefault="00000000">
      <w:pPr>
        <w:spacing w:after="120"/>
      </w:pPr>
      <w:r>
        <w:t>When residents sell, title fees, mortgage origination, and closing services often route through developer-affiliated entities again. Another margin layer.</w:t>
      </w:r>
    </w:p>
    <w:p w14:paraId="2B39F292" w14:textId="77777777" w:rsidR="008F47C3" w:rsidRDefault="008F47C3">
      <w:pPr>
        <w:spacing w:after="120"/>
      </w:pPr>
    </w:p>
    <w:p w14:paraId="691B893A" w14:textId="77777777" w:rsidR="008F47C3" w:rsidRDefault="00000000">
      <w:pPr>
        <w:pStyle w:val="Heading2"/>
      </w:pPr>
      <w:r>
        <w:t>What the Constitutional Doctrine Covers</w:t>
      </w:r>
    </w:p>
    <w:p w14:paraId="606C6D21" w14:textId="77777777" w:rsidR="008F47C3" w:rsidRDefault="00000000">
      <w:pPr>
        <w:spacing w:after="120"/>
      </w:pPr>
      <w:r>
        <w:t>Nollan, Dolan, and Koontz regulate Layer 2 only. Every other layer in the current working enumeration is entirely outside the constitutional conversation. The entire doctrinal debate is happening around a single bead on a much longer abacus.</w:t>
      </w:r>
    </w:p>
    <w:p w14:paraId="3AA37CE1" w14:textId="77777777" w:rsidR="008F47C3" w:rsidRDefault="008F47C3">
      <w:pPr>
        <w:spacing w:after="120"/>
      </w:pPr>
    </w:p>
    <w:p w14:paraId="691B893B" w14:textId="77777777" w:rsidR="008F47C3" w:rsidRDefault="00000000">
      <w:pPr>
        <w:pStyle w:val="Heading2"/>
      </w:pPr>
      <w:r>
        <w:t>Jurisdictional Fragmentation</w:t>
      </w:r>
    </w:p>
    <w:p w14:paraId="08601D6F" w14:textId="77777777" w:rsidR="00FC2E0F" w:rsidRDefault="00FC2E0F" w:rsidP="00FC2E0F">
      <w:pPr>
        <w:pStyle w:val="font-claude-response-body"/>
      </w:pPr>
      <w:r>
        <w:rPr>
          <w:rStyle w:val="Strong"/>
        </w:rPr>
        <w:t>CLAUDE CODE INSTRUCTION — PANEL PLACEMENT:</w:t>
      </w:r>
    </w:p>
    <w:p w14:paraId="6A55D150" w14:textId="6E1B2FF7" w:rsidR="00FC2E0F" w:rsidRDefault="00FC2E0F" w:rsidP="00FC2E0F">
      <w:pPr>
        <w:pStyle w:val="font-claude-response-body"/>
      </w:pPr>
      <w:r>
        <w:t>Add a dedicated visual panel to the website for the content below that covers jurisdictional fragmentation. This is not body text — it is a standalone callout panel that sits at the bottom of the page, beneath both diagrams and beneath both law school panels. Full width, spanning the width of both sides.</w:t>
      </w:r>
    </w:p>
    <w:p w14:paraId="794BC76C" w14:textId="77777777" w:rsidR="00FC2E0F" w:rsidRDefault="00FC2E0F" w:rsidP="00FC2E0F">
      <w:pPr>
        <w:pStyle w:val="font-claude-response-body"/>
      </w:pPr>
      <w:r>
        <w:t>Panel should be visually distinct from the diagrams and the law school panels — different styling, muted background, bordered or boxed to signal it is an observation layer rather than part of the mechanism diagram or the law school commentary.</w:t>
      </w:r>
    </w:p>
    <w:p w14:paraId="7B0D0C48" w14:textId="3E9D125A" w:rsidR="00FC2E0F" w:rsidRDefault="00FC2E0F" w:rsidP="00FC2E0F">
      <w:pPr>
        <w:pStyle w:val="font-claude-response-body"/>
      </w:pPr>
      <w:r>
        <w:t>\</w:t>
      </w:r>
    </w:p>
    <w:p w14:paraId="6B2E6082" w14:textId="77777777" w:rsidR="00FC2E0F" w:rsidRDefault="00FC2E0F" w:rsidP="00FC2E0F">
      <w:pPr>
        <w:pStyle w:val="font-claude-response-body"/>
      </w:pPr>
      <w:r>
        <w:t>Panel title: "Jurisdictional Fragmentation"</w:t>
      </w:r>
    </w:p>
    <w:p w14:paraId="157CF2B0" w14:textId="31D8827B" w:rsidR="00FC2E0F" w:rsidRDefault="00FC2E0F">
      <w:pPr>
        <w:pStyle w:val="Heading2"/>
      </w:pPr>
      <w:r w:rsidRPr="00FC2E0F">
        <w:rPr>
          <w:rFonts w:ascii="Times New Roman" w:eastAsia="Times New Roman" w:hAnsi="Times New Roman" w:cs="Times New Roman"/>
          <w:b w:val="0"/>
          <w:bCs w:val="0"/>
          <w:color w:val="auto"/>
          <w:sz w:val="24"/>
          <w:szCs w:val="24"/>
        </w:rPr>
        <w:t>Content is a working observation only: the exaction mechanism spans three separate legal regimes (constitutional takings doctrine in federal Article III courts, tax treatment in Article I Tax Court and IRS administrative proceedings, property/HOA law in state courts and sometimes Article II administrative bodies), and no single court or agency has jurisdiction over the whole pattern. The fragmentation itself appears to shield the mechanism from unified scrutiny. Not yet fully researched — flagged as a pattern worth examining further.</w:t>
      </w:r>
      <w:r>
        <w:rPr>
          <w:rFonts w:ascii="Times New Roman" w:eastAsia="Times New Roman" w:hAnsi="Times New Roman" w:cs="Times New Roman"/>
          <w:b w:val="0"/>
          <w:bCs w:val="0"/>
          <w:color w:val="auto"/>
          <w:sz w:val="24"/>
          <w:szCs w:val="24"/>
        </w:rPr>
        <w:br/>
      </w:r>
      <w:r>
        <w:rPr>
          <w:rFonts w:ascii="Times New Roman" w:eastAsia="Times New Roman" w:hAnsi="Times New Roman" w:cs="Times New Roman"/>
          <w:b w:val="0"/>
          <w:bCs w:val="0"/>
          <w:color w:val="auto"/>
          <w:sz w:val="24"/>
          <w:szCs w:val="24"/>
        </w:rPr>
        <w:br/>
        <w:t xml:space="preserve">Provide content below in a concise manner. </w:t>
      </w:r>
    </w:p>
    <w:p w14:paraId="606C6D22" w14:textId="77777777" w:rsidR="008F47C3" w:rsidRDefault="00000000">
      <w:pPr>
        <w:spacing w:after="120"/>
      </w:pPr>
      <w:r>
        <w:t>The legal regimes that interact in the extraction mechanism sit in different court systems with no shared jurisdiction:</w:t>
      </w:r>
    </w:p>
    <w:p w14:paraId="606C6D23" w14:textId="77777777" w:rsidR="008F47C3" w:rsidRDefault="00000000">
      <w:pPr>
        <w:pStyle w:val="ListParagraph"/>
        <w:numPr>
          <w:ilvl w:val="0"/>
          <w:numId w:val="2"/>
        </w:numPr>
      </w:pPr>
      <w:r>
        <w:t>Constitutional takings doctrine (Nollan / Dolan / Koontz / Sheetz) — federal courts, Article III</w:t>
      </w:r>
    </w:p>
    <w:p w14:paraId="606C6D24" w14:textId="77777777" w:rsidR="008F47C3" w:rsidRDefault="00000000">
      <w:pPr>
        <w:pStyle w:val="ListParagraph"/>
        <w:numPr>
          <w:ilvl w:val="0"/>
          <w:numId w:val="2"/>
        </w:numPr>
      </w:pPr>
      <w:r>
        <w:t>Tax code treatment (Rev. Rul. 2002-9, Section 280E, transfer pricing) — Tax Court (Article I), federal district courts, IRS administrative proceedings</w:t>
      </w:r>
    </w:p>
    <w:p w14:paraId="606C6D25" w14:textId="77777777" w:rsidR="008F47C3" w:rsidRDefault="00000000">
      <w:pPr>
        <w:pStyle w:val="ListParagraph"/>
        <w:numPr>
          <w:ilvl w:val="0"/>
          <w:numId w:val="2"/>
        </w:numPr>
      </w:pPr>
      <w:r>
        <w:t>Property law / HOA / CC&amp;Rs / declarant control — state courts, sometimes Article II administrative bodies</w:t>
      </w:r>
    </w:p>
    <w:p w14:paraId="606C6D26" w14:textId="77777777" w:rsidR="008F47C3" w:rsidRDefault="00000000">
      <w:pPr>
        <w:spacing w:after="120"/>
      </w:pPr>
      <w:r>
        <w:t xml:space="preserve">No single court or agency sees the whole picture. A Takings Clause challenge in federal court addresses the exaction layer only. A tax dispute in Tax Court addresses the deduction layer only. An HOA governance dispute in state court addresses the lock-in layer only. The fragmentation is itself part of what shields the mechanism from unified scrutiny — you cannot </w:t>
      </w:r>
      <w:r>
        <w:lastRenderedPageBreak/>
        <w:t>bring the whole pattern into a single courtroom because no court has jurisdiction over the whole pattern.</w:t>
      </w:r>
    </w:p>
    <w:p w14:paraId="606C6D27" w14:textId="77777777" w:rsidR="008F47C3" w:rsidRDefault="008F47C3">
      <w:pPr>
        <w:spacing w:after="120"/>
      </w:pPr>
    </w:p>
    <w:p w14:paraId="2CFAA12D" w14:textId="77777777" w:rsidR="008F47C3" w:rsidRDefault="00000000">
      <w:pPr>
        <w:pStyle w:val="Heading2"/>
      </w:pPr>
      <w:r>
        <w:t>Transfer Pricing Between Affiliated Entities</w:t>
      </w:r>
    </w:p>
    <w:p w14:paraId="2606023B" w14:textId="77777777" w:rsidR="008F47C3" w:rsidRDefault="00000000">
      <w:pPr>
        <w:spacing w:after="120"/>
      </w:pPr>
      <w:r>
        <w:t>Developer is often the contractor through wholly-owned or affiliated subsidiaries. Lennar has Lennar Title, Lennar Mortgage, Lennar Homes, and affiliated construction entities. D.R. Horton has DHI Mortgage, DHI Title. Greystar develops, builds, owns, and manages — capturing margin at every layer.</w:t>
      </w:r>
    </w:p>
    <w:p w14:paraId="4F9064D4" w14:textId="77777777" w:rsidR="008F47C3" w:rsidRDefault="00000000">
      <w:pPr>
        <w:spacing w:after="120"/>
      </w:pPr>
      <w:r>
        <w:t>When a single corporate family controls both sides of the invoice, the invoice says whatever optimizes the tax position. The "cost" booked for the exaction is whatever the affiliated entity invoices.</w:t>
      </w:r>
    </w:p>
    <w:p w14:paraId="7178F939" w14:textId="77777777" w:rsidR="008F47C3" w:rsidRDefault="00000000">
      <w:pPr>
        <w:spacing w:after="120"/>
      </w:pPr>
      <w:r>
        <w:t>IRS transfer pricing rules exist but are primarily enforced on international transactions. Domestic related-party construction between affiliated entities within a single real estate development gets less attention.</w:t>
      </w:r>
    </w:p>
    <w:p w14:paraId="48FDE23D" w14:textId="77777777" w:rsidR="008F47C3" w:rsidRDefault="00000000">
      <w:pPr>
        <w:spacing w:after="120"/>
      </w:pPr>
      <w:r>
        <w:t>RESEARCH TO-DO: Documented enforcement cases; specific examples of developer-affiliated construction arrangements.</w:t>
      </w:r>
    </w:p>
    <w:p w14:paraId="4EDD129B" w14:textId="77777777" w:rsidR="008F47C3" w:rsidRDefault="008F47C3">
      <w:pPr>
        <w:spacing w:after="120"/>
      </w:pPr>
    </w:p>
    <w:p w14:paraId="121F92FD" w14:textId="77777777" w:rsidR="008F47C3" w:rsidRDefault="00000000">
      <w:pPr>
        <w:pStyle w:val="Heading1"/>
      </w:pPr>
      <w:r>
        <w:t>Section 9: Source List</w:t>
      </w:r>
    </w:p>
    <w:p w14:paraId="60569CBF" w14:textId="77777777" w:rsidR="008F47C3" w:rsidRDefault="00000000">
      <w:pPr>
        <w:pStyle w:val="Heading2"/>
      </w:pPr>
      <w:r>
        <w:t>Legal / Doctrinal</w:t>
      </w:r>
    </w:p>
    <w:p w14:paraId="75C824FF" w14:textId="77777777" w:rsidR="008F47C3" w:rsidRDefault="00000000">
      <w:pPr>
        <w:pStyle w:val="ListParagraph"/>
        <w:numPr>
          <w:ilvl w:val="0"/>
          <w:numId w:val="2"/>
        </w:numPr>
      </w:pPr>
      <w:r>
        <w:t>Koontz v. St. Johns River Water Management District, 570 U.S. 595 (2013)</w:t>
      </w:r>
    </w:p>
    <w:p w14:paraId="1A405422" w14:textId="77777777" w:rsidR="008F47C3" w:rsidRDefault="00000000">
      <w:pPr>
        <w:pStyle w:val="ListParagraph"/>
        <w:numPr>
          <w:ilvl w:val="0"/>
          <w:numId w:val="2"/>
        </w:numPr>
      </w:pPr>
      <w:r>
        <w:t>Nollan v. California Coastal Commission, 483 U.S. 825 (1987)</w:t>
      </w:r>
    </w:p>
    <w:p w14:paraId="30E85BD1" w14:textId="77777777" w:rsidR="008F47C3" w:rsidRDefault="00000000">
      <w:pPr>
        <w:pStyle w:val="ListParagraph"/>
        <w:numPr>
          <w:ilvl w:val="0"/>
          <w:numId w:val="2"/>
        </w:numPr>
      </w:pPr>
      <w:r>
        <w:t>Dolan v. City of Tigard, 512 U.S. 374 (1994)</w:t>
      </w:r>
    </w:p>
    <w:p w14:paraId="5D1734FE" w14:textId="77777777" w:rsidR="008F47C3" w:rsidRDefault="00000000">
      <w:pPr>
        <w:pStyle w:val="ListParagraph"/>
        <w:numPr>
          <w:ilvl w:val="0"/>
          <w:numId w:val="2"/>
        </w:numPr>
      </w:pPr>
      <w:r>
        <w:t>Ehrlich v. City of Culver City, 12 Cal. 4th 854 (1996)</w:t>
      </w:r>
    </w:p>
    <w:p w14:paraId="5E58ECD5" w14:textId="77777777" w:rsidR="008F47C3" w:rsidRDefault="00000000">
      <w:pPr>
        <w:pStyle w:val="ListParagraph"/>
        <w:numPr>
          <w:ilvl w:val="0"/>
          <w:numId w:val="2"/>
        </w:numPr>
      </w:pPr>
      <w:r>
        <w:t>Sheetz v. County of El Dorado (2024) — [full citation TBD]</w:t>
      </w:r>
    </w:p>
    <w:p w14:paraId="14828B30" w14:textId="77777777" w:rsidR="008F47C3" w:rsidRDefault="00000000">
      <w:pPr>
        <w:pStyle w:val="ListParagraph"/>
        <w:numPr>
          <w:ilvl w:val="0"/>
          <w:numId w:val="2"/>
        </w:numPr>
      </w:pPr>
      <w:r>
        <w:t>Oriole Homes Corp. v. U.S., 705 F.Supp. 1531 (S.D. Fla. 1989)</w:t>
      </w:r>
    </w:p>
    <w:p w14:paraId="6F2261D0" w14:textId="77777777" w:rsidR="008F47C3" w:rsidRDefault="00000000">
      <w:pPr>
        <w:pStyle w:val="ListParagraph"/>
        <w:numPr>
          <w:ilvl w:val="0"/>
          <w:numId w:val="2"/>
        </w:numPr>
      </w:pPr>
      <w:r>
        <w:t>PLANNING AND ZONING: Exactions, Dedications and Development Agreements — ca-ilg.org/sites/main/files/file-attachments/resources__exactions.pdf</w:t>
      </w:r>
    </w:p>
    <w:p w14:paraId="150F5D4E" w14:textId="77777777" w:rsidR="008F47C3" w:rsidRDefault="00000000">
      <w:pPr>
        <w:pStyle w:val="Heading2"/>
      </w:pPr>
      <w:r>
        <w:t>Government / Regulatory</w:t>
      </w:r>
    </w:p>
    <w:p w14:paraId="097B2CAA" w14:textId="77777777" w:rsidR="008F47C3" w:rsidRDefault="00000000">
      <w:pPr>
        <w:pStyle w:val="ListParagraph"/>
        <w:numPr>
          <w:ilvl w:val="0"/>
          <w:numId w:val="2"/>
        </w:numPr>
      </w:pPr>
      <w:r>
        <w:t>California Department of Housing and Community Development — hcd.ca.gov/housing-element/building-blocks/constraints-fees</w:t>
      </w:r>
    </w:p>
    <w:p w14:paraId="556D397E" w14:textId="77777777" w:rsidR="008F47C3" w:rsidRDefault="00000000">
      <w:pPr>
        <w:pStyle w:val="ListParagraph"/>
        <w:numPr>
          <w:ilvl w:val="0"/>
          <w:numId w:val="2"/>
        </w:numPr>
      </w:pPr>
      <w:r>
        <w:t>California HCD Residential Impact Fee Study — hcd.ca.gov/policy-research/plans-reports/docs/impact-fee-study.pdf</w:t>
      </w:r>
    </w:p>
    <w:p w14:paraId="5A437867" w14:textId="77777777" w:rsidR="008F47C3" w:rsidRDefault="00000000">
      <w:pPr>
        <w:pStyle w:val="ListParagraph"/>
        <w:numPr>
          <w:ilvl w:val="0"/>
          <w:numId w:val="2"/>
        </w:numPr>
      </w:pPr>
      <w:r>
        <w:t>FHWA Development Impact Fees Fact Sheet — fhwa.dot.gov/ipd/fact_sheets/value_cap_development_impact_fees.aspx</w:t>
      </w:r>
    </w:p>
    <w:p w14:paraId="696EFB41" w14:textId="77777777" w:rsidR="008F47C3" w:rsidRDefault="00000000">
      <w:pPr>
        <w:pStyle w:val="ListParagraph"/>
        <w:numPr>
          <w:ilvl w:val="0"/>
          <w:numId w:val="2"/>
        </w:numPr>
      </w:pPr>
      <w:r>
        <w:t>FHWA Value Capture Manual — fhwa.dot.gov/ipd/pdfs/value_capture/fhwa_hin_21_004.pdf</w:t>
      </w:r>
    </w:p>
    <w:p w14:paraId="61A9E5C5" w14:textId="77777777" w:rsidR="008F47C3" w:rsidRDefault="00000000">
      <w:pPr>
        <w:pStyle w:val="ListParagraph"/>
        <w:numPr>
          <w:ilvl w:val="0"/>
          <w:numId w:val="2"/>
        </w:numPr>
      </w:pPr>
      <w:r>
        <w:t>IRS Revenue Ruling 2002-9 — irs.gov/pub/irs-drop/rr-02-9.pdf</w:t>
      </w:r>
    </w:p>
    <w:p w14:paraId="4DE0ABC1" w14:textId="77777777" w:rsidR="008F47C3" w:rsidRDefault="00000000">
      <w:pPr>
        <w:pStyle w:val="ListParagraph"/>
        <w:numPr>
          <w:ilvl w:val="0"/>
          <w:numId w:val="2"/>
        </w:numPr>
      </w:pPr>
      <w:r>
        <w:t>FTC v. Greystar press release (Jan 2025) — ftc.gov/news-events/news/press-releases/2025/01/ftc-state-colorado-take-action-against-greystar</w:t>
      </w:r>
    </w:p>
    <w:p w14:paraId="3F29E840" w14:textId="77777777" w:rsidR="008F47C3" w:rsidRDefault="00000000">
      <w:pPr>
        <w:pStyle w:val="ListParagraph"/>
        <w:numPr>
          <w:ilvl w:val="0"/>
          <w:numId w:val="2"/>
        </w:numPr>
      </w:pPr>
      <w:r>
        <w:t>HUD Impact Fees &amp; Housing Affordability — huduser.gov/portal/publications/impactfees.pdf</w:t>
      </w:r>
    </w:p>
    <w:p w14:paraId="45BFB09F" w14:textId="77777777" w:rsidR="008F47C3" w:rsidRDefault="00000000">
      <w:pPr>
        <w:pStyle w:val="Heading2"/>
      </w:pPr>
      <w:r>
        <w:lastRenderedPageBreak/>
        <w:t>Academic / Think Tank</w:t>
      </w:r>
    </w:p>
    <w:p w14:paraId="65E7A7A4" w14:textId="77777777" w:rsidR="008F47C3" w:rsidRDefault="00000000">
      <w:pPr>
        <w:pStyle w:val="ListParagraph"/>
        <w:numPr>
          <w:ilvl w:val="0"/>
          <w:numId w:val="2"/>
        </w:numPr>
      </w:pPr>
      <w:r>
        <w:t>Terner Center: It All Adds Up — ternercenter.berkeley.edu/wp-content/uploads/pdfs/Development_Fees_Report_Final_2.pdf</w:t>
      </w:r>
    </w:p>
    <w:p w14:paraId="03171D4B" w14:textId="77777777" w:rsidR="008F47C3" w:rsidRDefault="00000000">
      <w:pPr>
        <w:pStyle w:val="ListParagraph"/>
        <w:numPr>
          <w:ilvl w:val="0"/>
          <w:numId w:val="2"/>
        </w:numPr>
      </w:pPr>
      <w:r>
        <w:t>Terner Center: Residential Impact Fees blog — ternercenter.berkeley.edu/blog/residential-impact-fees/</w:t>
      </w:r>
    </w:p>
    <w:p w14:paraId="28CB6A23" w14:textId="77777777" w:rsidR="008F47C3" w:rsidRDefault="00000000">
      <w:pPr>
        <w:pStyle w:val="ListParagraph"/>
        <w:numPr>
          <w:ilvl w:val="0"/>
          <w:numId w:val="2"/>
        </w:numPr>
      </w:pPr>
      <w:r>
        <w:t>California YIMBY: The Impact of Fees — cayimby.org/reports/the-impact-of-fees/</w:t>
      </w:r>
    </w:p>
    <w:p w14:paraId="1EB39AC9" w14:textId="77777777" w:rsidR="008F47C3" w:rsidRDefault="00000000">
      <w:pPr>
        <w:pStyle w:val="ListParagraph"/>
        <w:numPr>
          <w:ilvl w:val="0"/>
          <w:numId w:val="2"/>
        </w:numPr>
      </w:pPr>
      <w:r>
        <w:t>California YIMBY: What the Fee? — cayimby.org/blog/impact-fees-housing/</w:t>
      </w:r>
    </w:p>
    <w:p w14:paraId="6B45C1DF" w14:textId="77777777" w:rsidR="008F47C3" w:rsidRDefault="00000000">
      <w:pPr>
        <w:pStyle w:val="ListParagraph"/>
        <w:numPr>
          <w:ilvl w:val="0"/>
          <w:numId w:val="2"/>
        </w:numPr>
      </w:pPr>
      <w:r>
        <w:t>Novogradac: Pay to Play (CA HCD) — novoco.com/public-media/documents/pay2play.pdf</w:t>
      </w:r>
    </w:p>
    <w:p w14:paraId="6E2B7255" w14:textId="77777777" w:rsidR="008F47C3" w:rsidRDefault="00000000">
      <w:pPr>
        <w:pStyle w:val="ListParagraph"/>
        <w:numPr>
          <w:ilvl w:val="0"/>
          <w:numId w:val="2"/>
        </w:numPr>
      </w:pPr>
      <w:r>
        <w:t>Texas Real Estate Research Center — trerc.tamu.edu/article/impact-fees-and-costs-of-new-development-2321/</w:t>
      </w:r>
    </w:p>
    <w:p w14:paraId="13CE1D7E" w14:textId="77777777" w:rsidR="008F47C3" w:rsidRDefault="00000000">
      <w:pPr>
        <w:pStyle w:val="ListParagraph"/>
        <w:numPr>
          <w:ilvl w:val="0"/>
          <w:numId w:val="2"/>
        </w:numPr>
      </w:pPr>
      <w:r>
        <w:t>Strong Towns on water/sewer infrastructure — strongtowns.org</w:t>
      </w:r>
    </w:p>
    <w:p w14:paraId="654E32ED" w14:textId="77777777" w:rsidR="008F47C3" w:rsidRDefault="00000000">
      <w:pPr>
        <w:pStyle w:val="ListParagraph"/>
        <w:numPr>
          <w:ilvl w:val="0"/>
          <w:numId w:val="2"/>
        </w:numPr>
      </w:pPr>
      <w:r>
        <w:t>Evans-Cowley, Development Exactions — impactfees.com/publications%20pdf/evans-cowley-planning.pdf</w:t>
      </w:r>
    </w:p>
    <w:p w14:paraId="0404AB3B" w14:textId="77777777" w:rsidR="008F47C3" w:rsidRDefault="00000000">
      <w:pPr>
        <w:pStyle w:val="ListParagraph"/>
        <w:numPr>
          <w:ilvl w:val="0"/>
          <w:numId w:val="2"/>
        </w:numPr>
      </w:pPr>
      <w:r>
        <w:t>World Bank Urban Regeneration — urban-regeneration.worldbank.org/node/14</w:t>
      </w:r>
    </w:p>
    <w:p w14:paraId="4229B6F2" w14:textId="77777777" w:rsidR="008F47C3" w:rsidRDefault="00000000">
      <w:pPr>
        <w:pStyle w:val="ListParagraph"/>
        <w:numPr>
          <w:ilvl w:val="0"/>
          <w:numId w:val="2"/>
        </w:numPr>
      </w:pPr>
      <w:r>
        <w:t>Local Housing Solutions — localhousingsolutions.org/housing-policy-library/reductions-in-impact-fees-and-exactions/</w:t>
      </w:r>
    </w:p>
    <w:p w14:paraId="555C4AD0" w14:textId="77777777" w:rsidR="008F47C3" w:rsidRDefault="00000000">
      <w:pPr>
        <w:pStyle w:val="Heading2"/>
      </w:pPr>
      <w:r>
        <w:t>Industry / Trade</w:t>
      </w:r>
    </w:p>
    <w:p w14:paraId="50AEF2CA" w14:textId="77777777" w:rsidR="008F47C3" w:rsidRDefault="00000000">
      <w:pPr>
        <w:pStyle w:val="ListParagraph"/>
        <w:numPr>
          <w:ilvl w:val="0"/>
          <w:numId w:val="2"/>
        </w:numPr>
      </w:pPr>
      <w:r>
        <w:t>Multifamily Dive (NMHC coverage) — multifamilydive.com (multiple articles on top developers)</w:t>
      </w:r>
    </w:p>
    <w:p w14:paraId="62A5186E" w14:textId="77777777" w:rsidR="008F47C3" w:rsidRDefault="00000000">
      <w:pPr>
        <w:pStyle w:val="ListParagraph"/>
        <w:numPr>
          <w:ilvl w:val="0"/>
          <w:numId w:val="2"/>
        </w:numPr>
      </w:pPr>
      <w:r>
        <w:t>NMHC via NAA — naahq.org/greystar-tops-nmhc-50-list-owners-managers</w:t>
      </w:r>
    </w:p>
    <w:p w14:paraId="72A7271F" w14:textId="77777777" w:rsidR="008F47C3" w:rsidRDefault="00000000">
      <w:pPr>
        <w:pStyle w:val="ListParagraph"/>
        <w:numPr>
          <w:ilvl w:val="0"/>
          <w:numId w:val="2"/>
        </w:numPr>
      </w:pPr>
      <w:r>
        <w:t>CoStar — costar.com/article/329788865/greystar-takes-over-top-spot-from-maa</w:t>
      </w:r>
    </w:p>
    <w:p w14:paraId="1194D76F" w14:textId="77777777" w:rsidR="008F47C3" w:rsidRDefault="00000000">
      <w:pPr>
        <w:pStyle w:val="ListParagraph"/>
        <w:numPr>
          <w:ilvl w:val="0"/>
          <w:numId w:val="2"/>
        </w:numPr>
      </w:pPr>
      <w:r>
        <w:t>Builder Magazine State-by-State Impact Fees — builderonline.com/building/regulation-policy/state-by-state-look-at-impact-fees_o</w:t>
      </w:r>
    </w:p>
    <w:p w14:paraId="16198AE1" w14:textId="77777777" w:rsidR="008F47C3" w:rsidRDefault="00000000">
      <w:pPr>
        <w:pStyle w:val="Heading2"/>
      </w:pPr>
      <w:r>
        <w:t>HOA / Declarant</w:t>
      </w:r>
    </w:p>
    <w:p w14:paraId="6CF18D23" w14:textId="77777777" w:rsidR="008F47C3" w:rsidRDefault="00000000">
      <w:pPr>
        <w:pStyle w:val="ListParagraph"/>
        <w:numPr>
          <w:ilvl w:val="0"/>
          <w:numId w:val="2"/>
        </w:numPr>
      </w:pPr>
      <w:r>
        <w:t>Mike Kosor — Declarant Control Dark Secret — mikekosor.com/declarant-control-dark-secret</w:t>
      </w:r>
    </w:p>
    <w:p w14:paraId="09C068C9" w14:textId="77777777" w:rsidR="008F47C3" w:rsidRDefault="00000000">
      <w:pPr>
        <w:pStyle w:val="ListParagraph"/>
        <w:numPr>
          <w:ilvl w:val="0"/>
          <w:numId w:val="2"/>
        </w:numPr>
      </w:pPr>
      <w:r>
        <w:t>HOAworks glossary — hoa.works/glossary/declarant/</w:t>
      </w:r>
    </w:p>
    <w:p w14:paraId="35809E3E" w14:textId="77777777" w:rsidR="008F47C3" w:rsidRDefault="00000000">
      <w:pPr>
        <w:pStyle w:val="ListParagraph"/>
        <w:numPr>
          <w:ilvl w:val="0"/>
          <w:numId w:val="2"/>
        </w:numPr>
      </w:pPr>
      <w:r>
        <w:t>Fellner Legal Services — flslawyer.com/when-does-the-hoa-belong-to-the-homeowners/</w:t>
      </w:r>
    </w:p>
    <w:p w14:paraId="22438558" w14:textId="77777777" w:rsidR="008F47C3" w:rsidRDefault="00000000">
      <w:pPr>
        <w:pStyle w:val="ListParagraph"/>
        <w:numPr>
          <w:ilvl w:val="0"/>
          <w:numId w:val="2"/>
        </w:numPr>
      </w:pPr>
      <w:r>
        <w:t>South Florida Law — southfloridalawpllc.com on FL Stat 720.307</w:t>
      </w:r>
    </w:p>
    <w:p w14:paraId="135F4C20" w14:textId="77777777" w:rsidR="008F47C3" w:rsidRDefault="00000000">
      <w:pPr>
        <w:pStyle w:val="ListParagraph"/>
        <w:numPr>
          <w:ilvl w:val="0"/>
          <w:numId w:val="2"/>
        </w:numPr>
      </w:pPr>
      <w:r>
        <w:t>HOA Leader — hoaleader.com/public/HOA-Board-Waiting-for-Developer-Transition</w:t>
      </w:r>
    </w:p>
    <w:p w14:paraId="49F82238" w14:textId="77777777" w:rsidR="008F47C3" w:rsidRDefault="00000000">
      <w:pPr>
        <w:pStyle w:val="ListParagraph"/>
        <w:numPr>
          <w:ilvl w:val="0"/>
          <w:numId w:val="2"/>
        </w:numPr>
      </w:pPr>
      <w:r>
        <w:t>HOA Management — hoamanagement.com/developer-controlled-community/</w:t>
      </w:r>
    </w:p>
    <w:p w14:paraId="4F4599D5" w14:textId="77777777" w:rsidR="008F47C3" w:rsidRDefault="00000000">
      <w:pPr>
        <w:pStyle w:val="ListParagraph"/>
        <w:numPr>
          <w:ilvl w:val="0"/>
          <w:numId w:val="2"/>
        </w:numPr>
      </w:pPr>
      <w:r>
        <w:t>Florida Condo HOA Law Blog — floridacondohoalawblog.com</w:t>
      </w:r>
    </w:p>
    <w:p w14:paraId="3C2B51E7" w14:textId="77777777" w:rsidR="008F47C3" w:rsidRDefault="00000000">
      <w:pPr>
        <w:pStyle w:val="Heading2"/>
      </w:pPr>
      <w:r>
        <w:t>Telecom / Bulk Billing</w:t>
      </w:r>
    </w:p>
    <w:p w14:paraId="64F1D65E" w14:textId="77777777" w:rsidR="008F47C3" w:rsidRDefault="00000000">
      <w:pPr>
        <w:pStyle w:val="ListParagraph"/>
        <w:numPr>
          <w:ilvl w:val="0"/>
          <w:numId w:val="2"/>
        </w:numPr>
      </w:pPr>
      <w:r>
        <w:t>Cord Cutters News on FCC withdrawal — cordcuttersnews.com/fcc-withdraws-proposal-to-ban-apartments-hoas</w:t>
      </w:r>
    </w:p>
    <w:p w14:paraId="2CB9D0FB" w14:textId="77777777" w:rsidR="008F47C3" w:rsidRDefault="00000000">
      <w:pPr>
        <w:pStyle w:val="ListParagraph"/>
        <w:numPr>
          <w:ilvl w:val="0"/>
          <w:numId w:val="2"/>
        </w:numPr>
      </w:pPr>
      <w:r>
        <w:t>Converged Services — blog.convergedservicesinc.com/hoa-cable-contracts</w:t>
      </w:r>
    </w:p>
    <w:p w14:paraId="6F92F82F" w14:textId="77777777" w:rsidR="008F47C3" w:rsidRDefault="00000000">
      <w:pPr>
        <w:pStyle w:val="ListParagraph"/>
        <w:numPr>
          <w:ilvl w:val="0"/>
          <w:numId w:val="2"/>
        </w:numPr>
      </w:pPr>
      <w:r>
        <w:t>Condominium Associates — condominiumassociates.com/blog/can-an-hoa-board-install-bulk-cable-and-internet</w:t>
      </w:r>
    </w:p>
    <w:p w14:paraId="74481C75" w14:textId="77777777" w:rsidR="008F47C3" w:rsidRDefault="00000000">
      <w:pPr>
        <w:pStyle w:val="ListParagraph"/>
        <w:numPr>
          <w:ilvl w:val="0"/>
          <w:numId w:val="2"/>
        </w:numPr>
      </w:pPr>
      <w:r>
        <w:t>47 CFR 76.2000 (FCC exclusivity prohibition)</w:t>
      </w:r>
    </w:p>
    <w:p w14:paraId="0D78983D" w14:textId="77777777" w:rsidR="008F47C3" w:rsidRDefault="00000000">
      <w:pPr>
        <w:pStyle w:val="Heading2"/>
      </w:pPr>
      <w:r>
        <w:t>Other Industries (Exaction Contexts)</w:t>
      </w:r>
    </w:p>
    <w:p w14:paraId="667506A4" w14:textId="77777777" w:rsidR="008F47C3" w:rsidRDefault="00000000">
      <w:pPr>
        <w:pStyle w:val="ListParagraph"/>
        <w:numPr>
          <w:ilvl w:val="0"/>
          <w:numId w:val="2"/>
        </w:numPr>
      </w:pPr>
      <w:r>
        <w:t>Competitive Enterprise Institute — Global Infrastructure Permitting — cei.org/studies/global-infrastructure-permitting/</w:t>
      </w:r>
    </w:p>
    <w:p w14:paraId="328CC168" w14:textId="77777777" w:rsidR="008F47C3" w:rsidRDefault="00000000">
      <w:pPr>
        <w:pStyle w:val="ListParagraph"/>
        <w:numPr>
          <w:ilvl w:val="0"/>
          <w:numId w:val="2"/>
        </w:numPr>
      </w:pPr>
      <w:r>
        <w:lastRenderedPageBreak/>
        <w:t>McKinsey — Unlocking US Federal Permitting — mckinsey.com/industries/public-sector/our-insights/unlocking-us-federal-permitting</w:t>
      </w:r>
    </w:p>
    <w:p w14:paraId="5CE487F9" w14:textId="77777777" w:rsidR="008F47C3" w:rsidRDefault="00000000">
      <w:pPr>
        <w:pStyle w:val="ListParagraph"/>
        <w:numPr>
          <w:ilvl w:val="0"/>
          <w:numId w:val="2"/>
        </w:numPr>
      </w:pPr>
      <w:r>
        <w:t>DOI Natural Resources Mining Law Blog — mininglaw.jeffer.com</w:t>
      </w:r>
    </w:p>
    <w:p w14:paraId="46414974" w14:textId="77777777" w:rsidR="008F47C3" w:rsidRDefault="00000000">
      <w:pPr>
        <w:pStyle w:val="ListParagraph"/>
        <w:numPr>
          <w:ilvl w:val="0"/>
          <w:numId w:val="2"/>
        </w:numPr>
      </w:pPr>
      <w:r>
        <w:t>Congress.gov — Energy and Minerals Provisions in IIJA (P.L. 117-58)</w:t>
      </w:r>
    </w:p>
    <w:p w14:paraId="51ABB37E" w14:textId="77777777" w:rsidR="008F47C3" w:rsidRDefault="00000000">
      <w:pPr>
        <w:pStyle w:val="ListParagraph"/>
        <w:numPr>
          <w:ilvl w:val="0"/>
          <w:numId w:val="2"/>
        </w:numPr>
      </w:pPr>
      <w:r>
        <w:t>BLM Mining Claims Rule (Federal Register) — federalregister.gov/documents/2025/09/02/2025-16755</w:t>
      </w:r>
    </w:p>
    <w:p w14:paraId="4311C622" w14:textId="77777777" w:rsidR="008F47C3" w:rsidRDefault="00000000">
      <w:pPr>
        <w:pStyle w:val="ListParagraph"/>
        <w:numPr>
          <w:ilvl w:val="0"/>
          <w:numId w:val="2"/>
        </w:numPr>
      </w:pPr>
      <w:r>
        <w:t>FERC Guidance — ferc.gov/sites/default/files/2020-04/guidance-manual-volume-1.pdf</w:t>
      </w:r>
    </w:p>
    <w:p w14:paraId="1BEAECA2" w14:textId="77777777" w:rsidR="008F47C3" w:rsidRDefault="00000000">
      <w:pPr>
        <w:pStyle w:val="ListParagraph"/>
        <w:numPr>
          <w:ilvl w:val="0"/>
          <w:numId w:val="2"/>
        </w:numPr>
      </w:pPr>
      <w:r>
        <w:t>EPA Oil and Gas Stormwater Permitting — epa.gov/npdes/oil-and-gas-stormwater-permitting</w:t>
      </w:r>
    </w:p>
    <w:p w14:paraId="1E84B402" w14:textId="77777777" w:rsidR="008F47C3" w:rsidRDefault="00000000">
      <w:pPr>
        <w:pStyle w:val="Heading2"/>
      </w:pPr>
      <w:r>
        <w:t>User's Reference — Visa Project</w:t>
      </w:r>
    </w:p>
    <w:p w14:paraId="63FA6A32" w14:textId="77777777" w:rsidR="008F47C3" w:rsidRDefault="00000000">
      <w:pPr>
        <w:pStyle w:val="ListParagraph"/>
        <w:numPr>
          <w:ilvl w:val="0"/>
          <w:numId w:val="2"/>
        </w:numPr>
      </w:pPr>
      <w:r>
        <w:t>The Manufactured Divide (index) — istuckert.github.io/Incentive-Machine/index.html</w:t>
      </w:r>
    </w:p>
    <w:p w14:paraId="18C8E638" w14:textId="77777777" w:rsidR="008F47C3" w:rsidRDefault="00000000">
      <w:pPr>
        <w:pStyle w:val="ListParagraph"/>
        <w:numPr>
          <w:ilvl w:val="0"/>
          <w:numId w:val="2"/>
        </w:numPr>
      </w:pPr>
      <w:r>
        <w:t>H-1B/H-2 Visa Incentive Machine — istuckert.github.io/Incentive-Machine/visa/index.html</w:t>
      </w:r>
    </w:p>
    <w:p w14:paraId="6E34B4F4" w14:textId="77777777" w:rsidR="008F47C3" w:rsidRDefault="008F47C3">
      <w:pPr>
        <w:spacing w:after="120"/>
      </w:pPr>
    </w:p>
    <w:p w14:paraId="770EE0D6" w14:textId="77777777" w:rsidR="008F47C3" w:rsidRDefault="00000000">
      <w:pPr>
        <w:pStyle w:val="Heading1"/>
      </w:pPr>
      <w:r>
        <w:t>Section 10: Open Questions and Threads to Develop</w:t>
      </w:r>
    </w:p>
    <w:p w14:paraId="10D456AC" w14:textId="77777777" w:rsidR="008F47C3" w:rsidRDefault="00000000">
      <w:pPr>
        <w:pStyle w:val="Heading2"/>
      </w:pPr>
      <w:r>
        <w:t>Structural / Thesis</w:t>
      </w:r>
    </w:p>
    <w:p w14:paraId="5577C928" w14:textId="45600C4A" w:rsidR="008F47C3" w:rsidRDefault="00000000">
      <w:pPr>
        <w:pStyle w:val="ListParagraph"/>
        <w:numPr>
          <w:ilvl w:val="0"/>
          <w:numId w:val="2"/>
        </w:numPr>
      </w:pPr>
      <w:r>
        <w:t xml:space="preserve">Audience: </w:t>
      </w:r>
      <w:r w:rsidR="007639A6">
        <w:t xml:space="preserve">My professor as a novel example of my theory, to be discussed and pushed back on </w:t>
      </w:r>
    </w:p>
    <w:p w14:paraId="2DF1DAD9" w14:textId="77777777" w:rsidR="008F47C3" w:rsidRDefault="00000000">
      <w:pPr>
        <w:pStyle w:val="ListParagraph"/>
        <w:numPr>
          <w:ilvl w:val="0"/>
          <w:numId w:val="2"/>
        </w:numPr>
      </w:pPr>
      <w:r>
        <w:t>No worked numerical example of the full extraction stack yet</w:t>
      </w:r>
    </w:p>
    <w:p w14:paraId="3C6EBA2C" w14:textId="77777777" w:rsidR="008F47C3" w:rsidRDefault="00000000">
      <w:pPr>
        <w:pStyle w:val="Heading2"/>
      </w:pPr>
      <w:r>
        <w:t>Threads Opened in Conversation, Not Yet Researched</w:t>
      </w:r>
    </w:p>
    <w:p w14:paraId="7EE9046B" w14:textId="77777777" w:rsidR="008F47C3" w:rsidRDefault="00000000">
      <w:pPr>
        <w:pStyle w:val="ListParagraph"/>
        <w:numPr>
          <w:ilvl w:val="0"/>
          <w:numId w:val="2"/>
        </w:numPr>
      </w:pPr>
      <w:r>
        <w:t>"Mandatory profit costs" framing — user's phrase; what does the full rate case structure look like?</w:t>
      </w:r>
    </w:p>
    <w:p w14:paraId="4C5B864A" w14:textId="77777777" w:rsidR="008F47C3" w:rsidRDefault="00000000">
      <w:pPr>
        <w:pStyle w:val="ListParagraph"/>
        <w:numPr>
          <w:ilvl w:val="0"/>
          <w:numId w:val="2"/>
        </w:numPr>
      </w:pPr>
      <w:r>
        <w:t>Liability shield statutes beyond CA AB 1054</w:t>
      </w:r>
    </w:p>
    <w:p w14:paraId="6E3BA3AA" w14:textId="77777777" w:rsidR="008F47C3" w:rsidRDefault="00000000">
      <w:pPr>
        <w:pStyle w:val="ListParagraph"/>
        <w:numPr>
          <w:ilvl w:val="0"/>
          <w:numId w:val="2"/>
        </w:numPr>
      </w:pPr>
      <w:r>
        <w:t>Stormwater and climate-shifted rainfall spec failures</w:t>
      </w:r>
    </w:p>
    <w:p w14:paraId="0102A859" w14:textId="77777777" w:rsidR="008F47C3" w:rsidRDefault="00000000">
      <w:pPr>
        <w:pStyle w:val="ListParagraph"/>
        <w:numPr>
          <w:ilvl w:val="0"/>
          <w:numId w:val="2"/>
        </w:numPr>
      </w:pPr>
      <w:r>
        <w:t>Developer-affiliated construction entities: named examples and tax treatment</w:t>
      </w:r>
    </w:p>
    <w:p w14:paraId="50000001" w14:textId="77777777" w:rsidR="008F47C3" w:rsidRDefault="00000000">
      <w:pPr>
        <w:pStyle w:val="Heading1"/>
      </w:pPr>
      <w:r>
        <w:t>Section 11: LIHTC and Section 8 as Double Extraction</w:t>
      </w:r>
    </w:p>
    <w:p w14:paraId="50000002" w14:textId="77777777" w:rsidR="008F47C3" w:rsidRDefault="00000000">
      <w:pPr>
        <w:spacing w:after="120"/>
      </w:pPr>
      <w:r>
        <w:t>This section reframes LIHTC (Low-Income Housing Tax Credit) and Section 8 as a double-extraction mechanism. Americans fund the system twice over: first as the federal tax subsidy that pays for construction, and second as ongoing Section 8 rental assistance that funds the operator's cash flow. The tenant in the unit is often poor, often in substandard conditions, and the operator's incentive to maintain the property is as weak as the build-quality incentive documented in the D.R. Horton section — because revenue does not depend on quality. It depends on the Section 8 voucher arriving.</w:t>
      </w:r>
    </w:p>
    <w:p w14:paraId="50000003" w14:textId="77777777" w:rsidR="008F47C3" w:rsidRDefault="00000000">
      <w:pPr>
        <w:pStyle w:val="Heading2"/>
      </w:pPr>
      <w:r>
        <w:t>The Flow</w:t>
      </w:r>
    </w:p>
    <w:p w14:paraId="50000004" w14:textId="77777777" w:rsidR="008F47C3" w:rsidRDefault="00000000">
      <w:pPr>
        <w:spacing w:after="120"/>
      </w:pPr>
      <w:r>
        <w:t xml:space="preserve">Federal taxpayer (all Americans) funds LIHTC equity via reduced federal tax revenue. Developer captures construction-phase margin. The same or affiliated entity retains ownership of the completed property. The federal taxpayer then pays Section 8 rent subsidy month after month to that same entity. Operator collects guaranteed cash flow for the life of the property. Tenant lives in conditions the operator has no financial incentive to improve, because the tenant </w:t>
      </w:r>
      <w:r>
        <w:lastRenderedPageBreak/>
        <w:t>is not the customer. The government is the customer. The tenant is the commodity the government pays the operator to house.</w:t>
      </w:r>
    </w:p>
    <w:p w14:paraId="50000005" w14:textId="77777777" w:rsidR="008F47C3" w:rsidRDefault="00000000">
      <w:pPr>
        <w:pStyle w:val="Heading2"/>
      </w:pPr>
      <w:r>
        <w:t>Structural Identity with Utilities</w:t>
      </w:r>
    </w:p>
    <w:p w14:paraId="50000006" w14:textId="77777777" w:rsidR="008F47C3" w:rsidRDefault="00000000">
      <w:pPr>
        <w:spacing w:after="120"/>
      </w:pPr>
      <w:r>
        <w:t>This is functionally the same as the utility scheme. Utilities are literally regulated and statutorily ordered to do what they do. Both systems are government-mandated, government-funded, government-protected revenue streams where the intended beneficiary is not the customer. The mandate to serve is what protects the operator from having to actually compete on quality. Without the decoupling between payer (government) and service recipient (tenant/ratepayer), normal market feedback would force quality up. With the decoupling, the operator's rational strategy is minimum-viable product forever.</w:t>
      </w:r>
    </w:p>
    <w:p w14:paraId="50000007" w14:textId="77777777" w:rsidR="008F47C3" w:rsidRDefault="00000000">
      <w:pPr>
        <w:pStyle w:val="Heading2"/>
      </w:pPr>
      <w:r>
        <w:t>The Reframe This Produces</w:t>
      </w:r>
    </w:p>
    <w:p w14:paraId="50000008" w14:textId="77777777" w:rsidR="008F47C3" w:rsidRDefault="00000000">
      <w:pPr>
        <w:spacing w:after="120"/>
      </w:pPr>
      <w:r>
        <w:t>The extraction is fundamentally about the gap between what the government pays for and what gets delivered. The operator delivers as little service as possible while still collecting the specified price. Every mechanism previously documented — tax dumps, HOA lock-in, build quality shortcuts, maintenance deferral, capital-over-OpEx bias — is a tactic for widening that gap. This is a working hypothesis, sharper than prior framings but not yet settled.</w:t>
      </w:r>
    </w:p>
    <w:p w14:paraId="50000009" w14:textId="77777777" w:rsidR="008F47C3" w:rsidRDefault="00000000">
      <w:pPr>
        <w:pStyle w:val="Heading2"/>
      </w:pPr>
      <w:r>
        <w:t>Key Actors to Research</w:t>
      </w:r>
    </w:p>
    <w:p w14:paraId="5000000A" w14:textId="77777777" w:rsidR="008F47C3" w:rsidRDefault="00000000">
      <w:pPr>
        <w:pStyle w:val="ListParagraph"/>
        <w:numPr>
          <w:ilvl w:val="0"/>
          <w:numId w:val="2"/>
        </w:numPr>
      </w:pPr>
      <w:r>
        <w:t>Developers/operators: Greystar, Related, BRIDGE Housing</w:t>
      </w:r>
    </w:p>
    <w:p w14:paraId="5000000B" w14:textId="77777777" w:rsidR="008F47C3" w:rsidRDefault="00000000">
      <w:pPr>
        <w:pStyle w:val="ListParagraph"/>
        <w:numPr>
          <w:ilvl w:val="0"/>
          <w:numId w:val="2"/>
        </w:numPr>
      </w:pPr>
      <w:r>
        <w:t>LIHTC syndicators: Raymond James, Hunt Capital, RBC Community Investments, National Equity Fund, Enterprise Community Partners, Boston Financial</w:t>
      </w:r>
    </w:p>
    <w:p w14:paraId="5000000C" w14:textId="77777777" w:rsidR="008F47C3" w:rsidRDefault="00000000">
      <w:pPr>
        <w:pStyle w:val="ListParagraph"/>
        <w:numPr>
          <w:ilvl w:val="0"/>
          <w:numId w:val="2"/>
        </w:numPr>
      </w:pPr>
      <w:r>
        <w:t>Institutional layer: NCSHA (National Council of State Housing Agencies)</w:t>
      </w:r>
    </w:p>
    <w:p w14:paraId="5000000D" w14:textId="77777777" w:rsidR="008F47C3" w:rsidRDefault="00000000">
      <w:pPr>
        <w:pStyle w:val="Heading2"/>
      </w:pPr>
      <w:r>
        <w:t>Scale and Mechanism References</w:t>
      </w:r>
    </w:p>
    <w:p w14:paraId="5000000E" w14:textId="77777777" w:rsidR="008F47C3" w:rsidRDefault="00000000">
      <w:pPr>
        <w:pStyle w:val="ListParagraph"/>
        <w:numPr>
          <w:ilvl w:val="0"/>
          <w:numId w:val="2"/>
        </w:numPr>
      </w:pPr>
      <w:r>
        <w:t>LIHTC has generated over 3.5 million units since inception in 1986, averaging ~115,000 units/year from 2000 to 2016</w:t>
      </w:r>
    </w:p>
    <w:p w14:paraId="5000000F" w14:textId="77777777" w:rsidR="008F47C3" w:rsidRDefault="00000000">
      <w:pPr>
        <w:pStyle w:val="ListParagraph"/>
        <w:numPr>
          <w:ilvl w:val="0"/>
          <w:numId w:val="2"/>
        </w:numPr>
      </w:pPr>
      <w:r>
        <w:t>Developers sell tax credits to outside investors (mostly financial institutions) in exchange for equity financing</w:t>
      </w:r>
    </w:p>
    <w:p w14:paraId="50000010" w14:textId="77777777" w:rsidR="008F47C3" w:rsidRDefault="00000000">
      <w:pPr>
        <w:pStyle w:val="ListParagraph"/>
        <w:numPr>
          <w:ilvl w:val="0"/>
          <w:numId w:val="2"/>
        </w:numPr>
      </w:pPr>
      <w:r>
        <w:t>Investors typically assume 99% ownership as silent partners; a general partner (PHA, nonprofit, or affordable housing operator) holds a small share with control over major decisions</w:t>
      </w:r>
    </w:p>
    <w:p w14:paraId="50000011" w14:textId="77777777" w:rsidR="008F47C3" w:rsidRDefault="00000000">
      <w:pPr>
        <w:pStyle w:val="ListParagraph"/>
        <w:numPr>
          <w:ilvl w:val="0"/>
          <w:numId w:val="2"/>
        </w:numPr>
      </w:pPr>
      <w:r>
        <w:t>When Section 8 and LIHTC combine, residents pay rents based on Section 8 program; LIHTC investor owns 99% of the building while HUD-subsidized rent flows to the operator</w:t>
      </w:r>
    </w:p>
    <w:p w14:paraId="50000012" w14:textId="77777777" w:rsidR="008F47C3" w:rsidRDefault="00000000">
      <w:pPr>
        <w:pStyle w:val="Heading2"/>
      </w:pPr>
      <w:r>
        <w:t>Sources</w:t>
      </w:r>
    </w:p>
    <w:p w14:paraId="50000013" w14:textId="77777777" w:rsidR="008F47C3" w:rsidRDefault="00000000">
      <w:pPr>
        <w:pStyle w:val="ListParagraph"/>
        <w:numPr>
          <w:ilvl w:val="0"/>
          <w:numId w:val="2"/>
        </w:numPr>
      </w:pPr>
      <w:r>
        <w:t>Novogradac, About the LIHTC — novoco.com/resource-centers/affordable-housing-tax-credits/about-lihtc</w:t>
      </w:r>
    </w:p>
    <w:p w14:paraId="50000014" w14:textId="77777777" w:rsidR="008F47C3" w:rsidRDefault="00000000">
      <w:pPr>
        <w:pStyle w:val="ListParagraph"/>
        <w:numPr>
          <w:ilvl w:val="0"/>
          <w:numId w:val="2"/>
        </w:numPr>
      </w:pPr>
      <w:r>
        <w:t>Congress.gov CRS RS22389, An Introduction to the Low-Income Housing Tax Credit</w:t>
      </w:r>
    </w:p>
    <w:p w14:paraId="50000015" w14:textId="77777777" w:rsidR="008F47C3" w:rsidRDefault="00000000">
      <w:pPr>
        <w:pStyle w:val="ListParagraph"/>
        <w:numPr>
          <w:ilvl w:val="0"/>
          <w:numId w:val="2"/>
        </w:numPr>
      </w:pPr>
      <w:r>
        <w:t>Tax Policy Center — taxpolicycenter.org/briefing-book/what-low-income-housing-tax-credit-and-how-does-it-work</w:t>
      </w:r>
    </w:p>
    <w:p w14:paraId="50000016" w14:textId="77777777" w:rsidR="008F47C3" w:rsidRDefault="00000000">
      <w:pPr>
        <w:pStyle w:val="ListParagraph"/>
        <w:numPr>
          <w:ilvl w:val="0"/>
          <w:numId w:val="2"/>
        </w:numPr>
      </w:pPr>
      <w:r>
        <w:t>HUD, RAD and Low-Income Tax Credits (Resident Fact Sheet 13) — hud.gov/sites/dfiles/Housing/documents/RADResidentFactSheet_13</w:t>
      </w:r>
    </w:p>
    <w:p w14:paraId="50000017" w14:textId="77777777" w:rsidR="008F47C3" w:rsidRDefault="00000000">
      <w:pPr>
        <w:pStyle w:val="ListParagraph"/>
        <w:numPr>
          <w:ilvl w:val="0"/>
          <w:numId w:val="2"/>
        </w:numPr>
      </w:pPr>
      <w:r>
        <w:t>Niskanen Center — niskanencenter.org/section-8s-big-clumsy-brother-how-the-low-income-housing-tax-credit-works/</w:t>
      </w:r>
    </w:p>
    <w:p w14:paraId="50000018" w14:textId="77777777" w:rsidR="008F47C3" w:rsidRDefault="00000000">
      <w:pPr>
        <w:pStyle w:val="ListParagraph"/>
        <w:numPr>
          <w:ilvl w:val="0"/>
          <w:numId w:val="2"/>
        </w:numPr>
      </w:pPr>
      <w:r>
        <w:lastRenderedPageBreak/>
        <w:t>MultifamilyLoans LIHTC Guide — multifamily.loans/lihtc/</w:t>
      </w:r>
    </w:p>
    <w:p w14:paraId="50000019" w14:textId="77777777" w:rsidR="008F47C3" w:rsidRDefault="008F47C3">
      <w:pPr>
        <w:spacing w:after="120"/>
      </w:pPr>
    </w:p>
    <w:p w14:paraId="5000001A" w14:textId="77777777" w:rsidR="008F47C3" w:rsidRDefault="00000000">
      <w:pPr>
        <w:pStyle w:val="Heading1"/>
      </w:pPr>
      <w:r>
        <w:t>Section 12: Physical Product Quality and the Professional Capture Layer</w:t>
      </w:r>
    </w:p>
    <w:p w14:paraId="5000001B" w14:textId="77777777" w:rsidR="008F47C3" w:rsidRDefault="00000000">
      <w:pPr>
        <w:spacing w:after="120"/>
      </w:pPr>
      <w:r>
        <w:t>This section documents the build-quality failures of production homebuilders and the adjacent professional infrastructure that fails to protect buyers. The through-line: the builder's financial exposure ends at closing, so the build is optimized to pass inspection on day one, not to perform at year five. The people nominally positioned to protect the buyer — inspectors, realtors, warranty administrators — are structurally incentivized against performing that protection.</w:t>
      </w:r>
    </w:p>
    <w:p w14:paraId="5000001C" w14:textId="77777777" w:rsidR="008F47C3" w:rsidRDefault="00000000">
      <w:pPr>
        <w:pStyle w:val="Heading2"/>
      </w:pPr>
      <w:r>
        <w:t>D.R. Horton: "America's Builder"</w:t>
      </w:r>
    </w:p>
    <w:p w14:paraId="5000001D" w14:textId="77777777" w:rsidR="008F47C3" w:rsidRDefault="00000000">
      <w:pPr>
        <w:spacing w:after="120"/>
      </w:pPr>
      <w:r>
        <w:t>D.R. Horton has held the title of nation's leading builder since 2002, marketed as "America's Builder." The company closed on approximately 83,000 homes and single-family rentals in 2022. Extensive litigation and investigative journalism document a pattern of construction defects sufficient to make homes unsafe and, in some cases, uninhabitable.</w:t>
      </w:r>
    </w:p>
    <w:p w14:paraId="5000001E" w14:textId="77777777" w:rsidR="008F47C3" w:rsidRDefault="00000000">
      <w:pPr>
        <w:pStyle w:val="Heading2"/>
      </w:pPr>
      <w:r>
        <w:t>Documented Quality Pattern</w:t>
      </w:r>
    </w:p>
    <w:p w14:paraId="5000001F" w14:textId="77777777" w:rsidR="008F47C3" w:rsidRDefault="00000000">
      <w:pPr>
        <w:pStyle w:val="ListParagraph"/>
        <w:numPr>
          <w:ilvl w:val="0"/>
          <w:numId w:val="2"/>
        </w:numPr>
      </w:pPr>
      <w:r>
        <w:t>60+ homeowners across 16 states shared accounts with Hunterbrook Media describing construction defects from substandard workmanship, inferior materials, and blatant building code violations</w:t>
      </w:r>
    </w:p>
    <w:p w14:paraId="50000020" w14:textId="77777777" w:rsidR="008F47C3" w:rsidRDefault="00000000">
      <w:pPr>
        <w:pStyle w:val="ListParagraph"/>
        <w:numPr>
          <w:ilvl w:val="0"/>
          <w:numId w:val="2"/>
        </w:numPr>
      </w:pPr>
      <w:r>
        <w:t>Recently unsealed court documents show D.R. Horton handled at least 1,100 complaints about mold, water leaks, structural defects, and high humidity in Louisiana homes dating to 2007</w:t>
      </w:r>
    </w:p>
    <w:p w14:paraId="50000021" w14:textId="77777777" w:rsidR="008F47C3" w:rsidRDefault="00000000">
      <w:pPr>
        <w:pStyle w:val="ListParagraph"/>
        <w:numPr>
          <w:ilvl w:val="0"/>
          <w:numId w:val="2"/>
        </w:numPr>
      </w:pPr>
      <w:r>
        <w:t>Problems often persisted even after repairs, forcing buyers to submit multiple work orders for the same issue</w:t>
      </w:r>
    </w:p>
    <w:p w14:paraId="50000022" w14:textId="77777777" w:rsidR="008F47C3" w:rsidRDefault="00000000">
      <w:pPr>
        <w:pStyle w:val="ListParagraph"/>
        <w:numPr>
          <w:ilvl w:val="0"/>
          <w:numId w:val="2"/>
        </w:numPr>
      </w:pPr>
      <w:r>
        <w:t>$16.1 million class action settlement in South Carolina. Associated law firm reports an 8-month waitlist of new client inquiries</w:t>
      </w:r>
    </w:p>
    <w:p w14:paraId="50000023" w14:textId="77777777" w:rsidR="008F47C3" w:rsidRDefault="00000000">
      <w:pPr>
        <w:pStyle w:val="ListParagraph"/>
        <w:numPr>
          <w:ilvl w:val="0"/>
          <w:numId w:val="2"/>
        </w:numPr>
      </w:pPr>
      <w:r>
        <w:t>Documented cases of homes condemned due to mold infestation severe enough to make previously healthy teenage children unable to attend school</w:t>
      </w:r>
    </w:p>
    <w:p w14:paraId="50000024" w14:textId="77777777" w:rsidR="008F47C3" w:rsidRDefault="00000000">
      <w:pPr>
        <w:pStyle w:val="Heading2"/>
      </w:pPr>
      <w:r>
        <w:t>The Contract Trap</w:t>
      </w:r>
    </w:p>
    <w:p w14:paraId="50000025" w14:textId="77777777" w:rsidR="008F47C3" w:rsidRDefault="00000000">
      <w:pPr>
        <w:spacing w:after="120"/>
      </w:pPr>
      <w:r>
        <w:t>Lennar and D.R. Horton contracts reviewed by Hunterbrook stipulate that if a buyer delays or backs out for any reason — including documented defects like foundation cracks, grading problems, or "biological contaminants" such as mold — it triggers an automatic default. The seller can claim the deposit as liquidated damages in amounts up to 15% of the home's value.</w:t>
      </w:r>
    </w:p>
    <w:p w14:paraId="50000026" w14:textId="77777777" w:rsidR="008F47C3" w:rsidRDefault="00000000">
      <w:pPr>
        <w:spacing w:after="120"/>
      </w:pPr>
      <w:r>
        <w:t>Lennar contracts further state that the builder's failure to obtain a certificate of occupancy in time cannot be grounds for delaying closing.</w:t>
      </w:r>
    </w:p>
    <w:p w14:paraId="50000027" w14:textId="77777777" w:rsidR="008F47C3" w:rsidRDefault="00000000">
      <w:pPr>
        <w:pStyle w:val="Heading2"/>
      </w:pPr>
      <w:r>
        <w:t>The Warranty Trap</w:t>
      </w:r>
    </w:p>
    <w:p w14:paraId="50000028" w14:textId="77777777" w:rsidR="008F47C3" w:rsidRDefault="00000000">
      <w:pPr>
        <w:spacing w:after="120"/>
      </w:pPr>
      <w:r>
        <w:t xml:space="preserve">Limited warranties explicitly exclude basic legal guarantees otherwise available under the law, including the implied warranty of habitability. Warranties do not typically cover issues related to drainage, grading, erosion, soil, or biological contaminants like mold — which are the most </w:t>
      </w:r>
      <w:r>
        <w:lastRenderedPageBreak/>
        <w:t>common defects caused by workmanship deficiencies and the defects most likely to render a home uninhabitable.</w:t>
      </w:r>
    </w:p>
    <w:p w14:paraId="50000029" w14:textId="77777777" w:rsidR="008F47C3" w:rsidRDefault="00000000">
      <w:pPr>
        <w:pStyle w:val="Heading2"/>
      </w:pPr>
      <w:r>
        <w:t>The "Building to Code" Admission</w:t>
      </w:r>
    </w:p>
    <w:p w14:paraId="5000002A" w14:textId="77777777" w:rsidR="008F47C3" w:rsidRDefault="00000000">
      <w:pPr>
        <w:spacing w:after="120"/>
      </w:pPr>
      <w:r>
        <w:t>D.R. Horton city manager Leslie Gulliksen stated in 2021, addressing building failures in the humid Gulf Coast climate, that "we are building them to the way the federal government says to." This is the explicit version of the extraction thesis: financial exposure ends at closing, so the build is optimized to pass inspection under minimum federal code, not to perform under actual local conditions. The stated defense is that meeting minimum code is sufficient. The observable result is homes that fail within 3–5 years.</w:t>
      </w:r>
    </w:p>
    <w:p w14:paraId="5000002B" w14:textId="77777777" w:rsidR="008F47C3" w:rsidRDefault="00000000">
      <w:pPr>
        <w:pStyle w:val="Heading2"/>
      </w:pPr>
      <w:r>
        <w:t>RICO Allegations (DHI Mortgage)</w:t>
      </w:r>
    </w:p>
    <w:p w14:paraId="5000002C" w14:textId="77777777" w:rsidR="008F47C3" w:rsidRDefault="00000000">
      <w:pPr>
        <w:spacing w:after="120"/>
      </w:pPr>
      <w:r>
        <w:t>A December 2024 federal RICO lawsuit alleges D.R. Horton and DHI Mortgage engaged in deceptive mortgage practices — partially escrowing property taxes to make monthly payments appear lower than they actually are. Plaintiffs' attorneys: "No other mortgage lender in the United States engages in the practice of partially escrowing property taxes by deliberately including only a small portion of a homebuyer's property taxes in their monthly payment." This represents the vertical integration pattern documented elsewhere: the same corporate family captures the sale, the mortgage origination, and allegedly manipulates escrow to mask the true cost to the buyer.</w:t>
      </w:r>
    </w:p>
    <w:p w14:paraId="5000002D" w14:textId="77777777" w:rsidR="008F47C3" w:rsidRDefault="00000000">
      <w:pPr>
        <w:pStyle w:val="Heading2"/>
      </w:pPr>
      <w:r>
        <w:t>Three Adjacent Patterns in the Home Buying Process</w:t>
      </w:r>
    </w:p>
    <w:p w14:paraId="5000002E" w14:textId="77777777" w:rsidR="008F47C3" w:rsidRDefault="00000000">
      <w:pPr>
        <w:spacing w:after="120"/>
      </w:pPr>
      <w:r>
        <w:t>Three structural problems in the professional infrastructure around home buying. These are not specific to D.R. Horton; they apply across the production homebuilder industry and to most residential real estate transactions.</w:t>
      </w:r>
    </w:p>
    <w:p w14:paraId="5000002F" w14:textId="77777777" w:rsidR="008F47C3" w:rsidRDefault="00000000">
      <w:pPr>
        <w:pStyle w:val="Heading3"/>
      </w:pPr>
      <w:r>
        <w:t>1. No-Bad-Review Clauses</w:t>
      </w:r>
    </w:p>
    <w:p w14:paraId="50000030" w14:textId="77777777" w:rsidR="008F47C3" w:rsidRDefault="00000000">
      <w:pPr>
        <w:spacing w:after="120"/>
      </w:pPr>
      <w:r>
        <w:t>Builder contracts commonly include clauses prohibiting negative public reviews. These are largely unenforceable against organized consumers or media under the Consumer Review Fairness Act of 2016, but the chilling effect functions against regular people who cannot or will not litigate. Enforcement does not have to work for the clause to succeed — the threat is the product.</w:t>
      </w:r>
    </w:p>
    <w:p w14:paraId="50000031" w14:textId="77777777" w:rsidR="008F47C3" w:rsidRDefault="00000000">
      <w:pPr>
        <w:pStyle w:val="Heading3"/>
      </w:pPr>
      <w:r>
        <w:t>2. The Realtor/Home Inspector Relationship</w:t>
      </w:r>
    </w:p>
    <w:p w14:paraId="50000032" w14:textId="77777777" w:rsidR="008F47C3" w:rsidRDefault="00000000">
      <w:pPr>
        <w:spacing w:after="120"/>
      </w:pPr>
      <w:r>
        <w:t>The home inspector is nominally hired by the buyer but functionally recommended by the realtor. The realtor is paid only if the deal closes. Inspectors who consistently identify serious issues that kill deals stop receiving referrals. Inspectors who identify issues but frame them softly continue to receive referrals. This is a classic principal-agent problem in which the agent has a financial relationship with someone other than the principal.</w:t>
      </w:r>
    </w:p>
    <w:p w14:paraId="50000033" w14:textId="77777777" w:rsidR="008F47C3" w:rsidRDefault="00000000">
      <w:pPr>
        <w:pStyle w:val="Heading3"/>
      </w:pPr>
      <w:r>
        <w:t>3. The "Never Say Don't Buy" Pattern</w:t>
      </w:r>
    </w:p>
    <w:p w14:paraId="50000034" w14:textId="77777777" w:rsidR="008F47C3" w:rsidRDefault="00000000">
      <w:pPr>
        <w:spacing w:after="120"/>
      </w:pPr>
      <w:r>
        <w:t>Downstream of the referral dynamic above. Inspectors document issues factually but systematically avoid normative judgments. Report language reads "moisture reading elevated in subfloor" rather than "do not purchase this house." Buyers without construction expertise cannot translate technical findings into buy/don't-buy decisions. The inspection report satisfies the legal formality of disclosure without actually protecting the buyer.</w:t>
      </w:r>
    </w:p>
    <w:p w14:paraId="50000035" w14:textId="77777777" w:rsidR="008F47C3" w:rsidRDefault="00000000">
      <w:pPr>
        <w:pStyle w:val="Heading3"/>
      </w:pPr>
      <w:r>
        <w:t>The Pattern This Matches</w:t>
      </w:r>
    </w:p>
    <w:p w14:paraId="50000036" w14:textId="77777777" w:rsidR="008F47C3" w:rsidRDefault="00000000">
      <w:pPr>
        <w:spacing w:after="120"/>
      </w:pPr>
      <w:r>
        <w:lastRenderedPageBreak/>
        <w:t>The through-line across all three observations: the advice-givers are captured by the people who pay them, and the person they ostensibly represent is not at the table. This is the same structural pattern the visa project documented in the media capture thread — apparently independent professionals whose funding structure determines which conclusions they can afford to reach.</w:t>
      </w:r>
    </w:p>
    <w:p w14:paraId="50000037" w14:textId="77777777" w:rsidR="008F47C3" w:rsidRDefault="00000000">
      <w:pPr>
        <w:pStyle w:val="Heading2"/>
      </w:pPr>
      <w:r>
        <w:t>HVAC Warranty Registration (Thread Not Fully Explored)</w:t>
      </w:r>
    </w:p>
    <w:p w14:paraId="50000038" w14:textId="77777777" w:rsidR="008F47C3" w:rsidRDefault="00000000">
      <w:pPr>
        <w:spacing w:after="120"/>
      </w:pPr>
      <w:r>
        <w:t>This is a partially explored thread. Worth noting, not worth centering. The 10-year manufacturer warranty length is within normal industry range.</w:t>
      </w:r>
    </w:p>
    <w:p w14:paraId="50000039" w14:textId="77777777" w:rsidR="008F47C3" w:rsidRDefault="00000000">
      <w:pPr>
        <w:spacing w:after="120"/>
      </w:pPr>
      <w:r>
        <w:t>HVAC equipment in new builds is registered to the builder as owner. To transfer the manufacturer's warranty to the homeowner, the homeowner must independently register with the manufacturer within 30–90 days of closing. The manufacturer warranty typically runs 10 years. The builder warranty typically runs 1 year.</w:t>
      </w:r>
    </w:p>
    <w:p w14:paraId="5000003A" w14:textId="77777777" w:rsidR="008F47C3" w:rsidRDefault="00000000">
      <w:pPr>
        <w:spacing w:after="120"/>
      </w:pPr>
      <w:r>
        <w:t>If the homeowner does not register within the window, they lose the 10-year manufacturer coverage and retain only the 1-year builder coverage. Most buyers are not told this. Builders do not proactively register on behalf of the buyer.</w:t>
      </w:r>
    </w:p>
    <w:p w14:paraId="5000003B" w14:textId="77777777" w:rsidR="008F47C3" w:rsidRDefault="00000000">
      <w:pPr>
        <w:spacing w:after="120"/>
      </w:pPr>
      <w:r>
        <w:t>The warranty requires annual professional maintenance documented by licensed technicians. Skipping maintenance or using unlicensed providers voids coverage. Home warranty providers maintain "preferred provider" lists. On-record statement from an HVAC professional: these preferred providers are "not the most outstanding service technicians in the world, and they are more than likely trained to look for things to get the consumer out of being able to use their warranty."</w:t>
      </w:r>
    </w:p>
    <w:p w14:paraId="5000003C" w14:textId="77777777" w:rsidR="008F47C3" w:rsidRDefault="00000000">
      <w:pPr>
        <w:spacing w:after="120"/>
      </w:pPr>
      <w:r>
        <w:t>Connection to the D.R. Horton pattern: in Louisiana litigation, homeowners allege D.R. Horton HVAC systems cannot handle local humidity. Units run constantly yet fail to keep indoor humidity below 60%, leading to condensation, black mold, and respiratory illness. The warranty requires maintenance records from approved providers. Approved providers deny the claim. The homeowner absorbs the cost.</w:t>
      </w:r>
    </w:p>
    <w:p w14:paraId="5000003D" w14:textId="77777777" w:rsidR="008F47C3" w:rsidRDefault="00000000">
      <w:pPr>
        <w:pStyle w:val="Heading2"/>
      </w:pPr>
      <w:r>
        <w:t>Sources</w:t>
      </w:r>
    </w:p>
    <w:p w14:paraId="5000003E" w14:textId="77777777" w:rsidR="008F47C3" w:rsidRDefault="00000000">
      <w:pPr>
        <w:pStyle w:val="ListParagraph"/>
        <w:numPr>
          <w:ilvl w:val="0"/>
          <w:numId w:val="2"/>
        </w:numPr>
      </w:pPr>
      <w:r>
        <w:t>Hunterbrook Media investigative piece — hntrbrk.com/homebuilders/</w:t>
      </w:r>
    </w:p>
    <w:p w14:paraId="5000003F" w14:textId="77777777" w:rsidR="008F47C3" w:rsidRDefault="00000000">
      <w:pPr>
        <w:pStyle w:val="ListParagraph"/>
        <w:numPr>
          <w:ilvl w:val="0"/>
          <w:numId w:val="2"/>
        </w:numPr>
      </w:pPr>
      <w:r>
        <w:t>Murphy Law Firm — murphylawfirm.com/blog/biggest-complaints-about-dr-horton-houses/</w:t>
      </w:r>
    </w:p>
    <w:p w14:paraId="50000040" w14:textId="77777777" w:rsidR="008F47C3" w:rsidRDefault="00000000">
      <w:pPr>
        <w:pStyle w:val="ListParagraph"/>
        <w:numPr>
          <w:ilvl w:val="0"/>
          <w:numId w:val="2"/>
        </w:numPr>
      </w:pPr>
      <w:r>
        <w:t>LawGud DR Horton Lawsuit — lawgud.com/lawsuit/dr-horton-lawsuit/</w:t>
      </w:r>
    </w:p>
    <w:p w14:paraId="50000041" w14:textId="77777777" w:rsidR="008F47C3" w:rsidRDefault="00000000">
      <w:pPr>
        <w:pStyle w:val="ListParagraph"/>
        <w:numPr>
          <w:ilvl w:val="0"/>
          <w:numId w:val="2"/>
        </w:numPr>
      </w:pPr>
      <w:r>
        <w:t>Rightful Advice DR Horton Guide 2025-2026 — rightfuladvice.com/dr-horton-lawsuit/</w:t>
      </w:r>
    </w:p>
    <w:p w14:paraId="50000042" w14:textId="77777777" w:rsidR="008F47C3" w:rsidRDefault="00000000">
      <w:pPr>
        <w:pStyle w:val="ListParagraph"/>
        <w:numPr>
          <w:ilvl w:val="0"/>
          <w:numId w:val="2"/>
        </w:numPr>
      </w:pPr>
      <w:r>
        <w:t>The Advocate (Baton Rouge) — theadvocate.com/baton_rouge/news/courts/families-suing-dr-horton-over-mold-in-homes-share-stories/</w:t>
      </w:r>
    </w:p>
    <w:p w14:paraId="50000043" w14:textId="77777777" w:rsidR="008F47C3" w:rsidRDefault="00000000">
      <w:pPr>
        <w:pStyle w:val="ListParagraph"/>
        <w:numPr>
          <w:ilvl w:val="0"/>
          <w:numId w:val="2"/>
        </w:numPr>
      </w:pPr>
      <w:r>
        <w:t>Live5 News — live5news.com/2024/07/18/complaints-mount-through-nation-against-americas-builder-dr-horton/</w:t>
      </w:r>
    </w:p>
    <w:p w14:paraId="50000044" w14:textId="77777777" w:rsidR="008F47C3" w:rsidRDefault="00000000">
      <w:pPr>
        <w:pStyle w:val="ListParagraph"/>
        <w:numPr>
          <w:ilvl w:val="0"/>
          <w:numId w:val="2"/>
        </w:numPr>
      </w:pPr>
      <w:r>
        <w:t>KBTX — kbtx.com/2024/07/19/complaints-mount-through-nation-against-dr-horton-house-hell/</w:t>
      </w:r>
    </w:p>
    <w:p w14:paraId="50000045" w14:textId="77777777" w:rsidR="008F47C3" w:rsidRDefault="00000000">
      <w:pPr>
        <w:pStyle w:val="ListParagraph"/>
        <w:numPr>
          <w:ilvl w:val="0"/>
          <w:numId w:val="2"/>
        </w:numPr>
      </w:pPr>
      <w:r>
        <w:t>NOLA.com Lakeshore Villages coverage — nola.com/news/northshore/dr-horton-lakeshore-villages-slidell-lawsuit/</w:t>
      </w:r>
    </w:p>
    <w:p w14:paraId="50000046" w14:textId="77777777" w:rsidR="008F47C3" w:rsidRDefault="00000000">
      <w:pPr>
        <w:pStyle w:val="ListParagraph"/>
        <w:numPr>
          <w:ilvl w:val="0"/>
          <w:numId w:val="2"/>
        </w:numPr>
      </w:pPr>
      <w:r>
        <w:t>AllAboutLawyer DR Horton Class Action — allaboutlawyer.com/dr-horton-class-action-lawsuit-construction-defects-mortgage-fraud/</w:t>
      </w:r>
    </w:p>
    <w:p w14:paraId="50000047" w14:textId="77777777" w:rsidR="008F47C3" w:rsidRDefault="00000000">
      <w:pPr>
        <w:pStyle w:val="ListParagraph"/>
        <w:numPr>
          <w:ilvl w:val="0"/>
          <w:numId w:val="2"/>
        </w:numPr>
      </w:pPr>
      <w:r>
        <w:t>FTC Consumer Advice, Warranties for New Homes — consumer.ftc.gov/warranties-new-homes</w:t>
      </w:r>
    </w:p>
    <w:p w14:paraId="50000048" w14:textId="77777777" w:rsidR="008F47C3" w:rsidRDefault="00000000">
      <w:pPr>
        <w:pStyle w:val="ListParagraph"/>
        <w:numPr>
          <w:ilvl w:val="0"/>
          <w:numId w:val="2"/>
        </w:numPr>
      </w:pPr>
      <w:r>
        <w:lastRenderedPageBreak/>
        <w:t>Fire &amp; Ice HVAC (indoortemp.com) — resources/hvac-warranties-and-product-registration</w:t>
      </w:r>
    </w:p>
    <w:p w14:paraId="50000049" w14:textId="77777777" w:rsidR="008F47C3" w:rsidRDefault="00000000">
      <w:pPr>
        <w:pStyle w:val="ListParagraph"/>
        <w:numPr>
          <w:ilvl w:val="0"/>
          <w:numId w:val="2"/>
        </w:numPr>
      </w:pPr>
      <w:r>
        <w:t>Air Doctor Heating and Air — airdoctorhvac.com/transferring-hvac-warranty-for-new-home/</w:t>
      </w:r>
    </w:p>
    <w:p w14:paraId="5000004A" w14:textId="77777777" w:rsidR="008F47C3" w:rsidRDefault="00000000">
      <w:pPr>
        <w:pStyle w:val="ListParagraph"/>
        <w:numPr>
          <w:ilvl w:val="0"/>
          <w:numId w:val="2"/>
        </w:numPr>
      </w:pPr>
      <w:r>
        <w:t>Acunas Polar Aire (California-specific HVAC warranties) — acunaspolaraire.com/understanding-new-home-hvac-warranties-california/</w:t>
      </w:r>
    </w:p>
    <w:p w14:paraId="5000004B" w14:textId="77777777" w:rsidR="008F47C3" w:rsidRDefault="00000000">
      <w:pPr>
        <w:pStyle w:val="ListParagraph"/>
        <w:numPr>
          <w:ilvl w:val="0"/>
          <w:numId w:val="2"/>
        </w:numPr>
      </w:pPr>
      <w:r>
        <w:t>Consumer Review Fairness Act of 2016 (15 U.S.C. § 45b)</w:t>
      </w:r>
    </w:p>
    <w:p w14:paraId="5000004C" w14:textId="77777777" w:rsidR="008F47C3" w:rsidRDefault="008F47C3">
      <w:pPr>
        <w:spacing w:after="120"/>
      </w:pPr>
    </w:p>
    <w:p w14:paraId="5000004D" w14:textId="77777777" w:rsidR="008F47C3" w:rsidRDefault="00000000">
      <w:pPr>
        <w:pStyle w:val="Heading1"/>
      </w:pPr>
      <w:r>
        <w:t>Section 13: Solar Panel Lock-In as Captive Geography</w:t>
      </w:r>
    </w:p>
    <w:p w14:paraId="5000004E" w14:textId="77777777" w:rsidR="008F47C3" w:rsidRDefault="00000000">
      <w:pPr>
        <w:spacing w:after="120"/>
      </w:pPr>
      <w:r>
        <w:t>This section documents solar leases and Power Purchase Agreements (PPAs) as a direct parallel to the utility captive-geography principle — same extraction mechanism expressed through a different legal instrument.</w:t>
      </w:r>
    </w:p>
    <w:p w14:paraId="5000004F" w14:textId="77777777" w:rsidR="008F47C3" w:rsidRDefault="00000000">
      <w:pPr>
        <w:pStyle w:val="Heading2"/>
      </w:pPr>
      <w:r>
        <w:t>The Mechanism</w:t>
      </w:r>
    </w:p>
    <w:p w14:paraId="50000050" w14:textId="77777777" w:rsidR="008F47C3" w:rsidRDefault="00000000">
      <w:pPr>
        <w:spacing w:after="120"/>
      </w:pPr>
      <w:r>
        <w:t>Solar leases and PPAs are tied to the title of the home, not to the homeowner. Most contracts run 15–25 years with annual escalator clauses of 2–5%. The system is legally tied to the property. The financial obligation is tied to whoever holds the deed. A home with a solar PPA cannot be sold free and clear unless the lease is transferred to the buyer, bought out, or removed.</w:t>
      </w:r>
    </w:p>
    <w:p w14:paraId="50000051" w14:textId="77777777" w:rsidR="008F47C3" w:rsidRDefault="00000000">
      <w:pPr>
        <w:pStyle w:val="Heading2"/>
      </w:pPr>
      <w:r>
        <w:t>The Lock-In</w:t>
      </w:r>
    </w:p>
    <w:p w14:paraId="50000052" w14:textId="77777777" w:rsidR="008F47C3" w:rsidRDefault="00000000">
      <w:pPr>
        <w:pStyle w:val="ListParagraph"/>
        <w:numPr>
          <w:ilvl w:val="0"/>
          <w:numId w:val="2"/>
        </w:numPr>
      </w:pPr>
      <w:r>
        <w:t>Solar companies have minimal incentive to negotiate buyouts — they prefer to keep the revenue stream</w:t>
      </w:r>
    </w:p>
    <w:p w14:paraId="50000053" w14:textId="77777777" w:rsidR="008F47C3" w:rsidRDefault="00000000">
      <w:pPr>
        <w:pStyle w:val="ListParagraph"/>
        <w:numPr>
          <w:ilvl w:val="0"/>
          <w:numId w:val="2"/>
        </w:numPr>
      </w:pPr>
      <w:r>
        <w:t>Most systems cannot be fully bought out in the first 5–6 years due to federal tax equity rules</w:t>
      </w:r>
    </w:p>
    <w:p w14:paraId="50000054" w14:textId="77777777" w:rsidR="008F47C3" w:rsidRDefault="00000000">
      <w:pPr>
        <w:pStyle w:val="ListParagraph"/>
        <w:numPr>
          <w:ilvl w:val="0"/>
          <w:numId w:val="2"/>
        </w:numPr>
      </w:pPr>
      <w:r>
        <w:t>Transfer fees range $500–$2,000 when selling the home</w:t>
      </w:r>
    </w:p>
    <w:p w14:paraId="50000055" w14:textId="77777777" w:rsidR="008F47C3" w:rsidRDefault="00000000">
      <w:pPr>
        <w:pStyle w:val="ListParagraph"/>
        <w:numPr>
          <w:ilvl w:val="0"/>
          <w:numId w:val="2"/>
        </w:numPr>
      </w:pPr>
      <w:r>
        <w:t>New buyer must pass a credit check to assume the lease</w:t>
      </w:r>
    </w:p>
    <w:p w14:paraId="50000056" w14:textId="77777777" w:rsidR="008F47C3" w:rsidRDefault="00000000">
      <w:pPr>
        <w:pStyle w:val="ListParagraph"/>
        <w:numPr>
          <w:ilvl w:val="0"/>
          <w:numId w:val="2"/>
        </w:numPr>
      </w:pPr>
      <w:r>
        <w:t>If new buyer refuses, seller must buy out the lease before closing — adding to selling costs</w:t>
      </w:r>
    </w:p>
    <w:p w14:paraId="50000057" w14:textId="77777777" w:rsidR="008F47C3" w:rsidRDefault="00000000">
      <w:pPr>
        <w:pStyle w:val="ListParagraph"/>
        <w:numPr>
          <w:ilvl w:val="0"/>
          <w:numId w:val="2"/>
        </w:numPr>
      </w:pPr>
      <w:r>
        <w:t>Escalator clauses can outpace standard utility rate inflation, costing more than the utility service they replaced</w:t>
      </w:r>
    </w:p>
    <w:p w14:paraId="50000058" w14:textId="77777777" w:rsidR="008F47C3" w:rsidRDefault="00000000">
      <w:pPr>
        <w:pStyle w:val="Heading2"/>
      </w:pPr>
      <w:r>
        <w:t>Structural Parallel to Utilities</w:t>
      </w:r>
    </w:p>
    <w:p w14:paraId="50000059" w14:textId="77777777" w:rsidR="008F47C3" w:rsidRDefault="00000000">
      <w:pPr>
        <w:spacing w:after="120"/>
      </w:pPr>
      <w:r>
        <w:t>Same pattern, different wrapper: guaranteed return to the provider, captive consumer, escalation built in, lock-in by geography. In a traditional utility it is lock-in by service territory — you pay PG&amp;E because you live in their zone. In a solar PPA it is lock-in by deed — you pay Sunrun because the contract is recorded against the property you now own. The mechanism is identical. The legal instrument is different.</w:t>
      </w:r>
    </w:p>
    <w:p w14:paraId="5000005A" w14:textId="77777777" w:rsidR="008F47C3" w:rsidRDefault="00000000">
      <w:pPr>
        <w:spacing w:after="120"/>
      </w:pPr>
      <w:r>
        <w:t>This reinforces the captive-geography principle documented in the utility section. Both systems deny the consumer the ability to opt out by moving their custom to a competitor, because there is no competitor available within the captured geography.</w:t>
      </w:r>
    </w:p>
    <w:p w14:paraId="5000005B" w14:textId="77777777" w:rsidR="008F47C3" w:rsidRDefault="00000000">
      <w:pPr>
        <w:pStyle w:val="Heading2"/>
      </w:pPr>
      <w:r>
        <w:t>Sources</w:t>
      </w:r>
    </w:p>
    <w:p w14:paraId="5000005C" w14:textId="77777777" w:rsidR="008F47C3" w:rsidRDefault="00000000">
      <w:pPr>
        <w:pStyle w:val="ListParagraph"/>
        <w:numPr>
          <w:ilvl w:val="0"/>
          <w:numId w:val="2"/>
        </w:numPr>
      </w:pPr>
      <w:r>
        <w:t>Solar Panel Exit — solarpanelexit.com/how-to-get-out-of-a-solar-panel-contract/</w:t>
      </w:r>
    </w:p>
    <w:p w14:paraId="5000005D" w14:textId="77777777" w:rsidR="008F47C3" w:rsidRDefault="00000000">
      <w:pPr>
        <w:pStyle w:val="ListParagraph"/>
        <w:numPr>
          <w:ilvl w:val="0"/>
          <w:numId w:val="2"/>
        </w:numPr>
      </w:pPr>
      <w:r>
        <w:t>Solar to the People — solar-to-the-people.com/cancelling-solar-lease-contract/</w:t>
      </w:r>
    </w:p>
    <w:p w14:paraId="5000005E" w14:textId="77777777" w:rsidR="008F47C3" w:rsidRDefault="00000000">
      <w:pPr>
        <w:pStyle w:val="ListParagraph"/>
        <w:numPr>
          <w:ilvl w:val="0"/>
          <w:numId w:val="2"/>
        </w:numPr>
      </w:pPr>
      <w:r>
        <w:lastRenderedPageBreak/>
        <w:t>Blue Raven Solar, 2023 Guide to Power Purchase Agreements — blueravensolar.com/blog/whats-a-solar-ppa-2023-guide-to-power-purchase-agreements/</w:t>
      </w:r>
    </w:p>
    <w:p w14:paraId="5000005F" w14:textId="77777777" w:rsidR="008F47C3" w:rsidRDefault="00000000">
      <w:pPr>
        <w:pStyle w:val="ListParagraph"/>
        <w:numPr>
          <w:ilvl w:val="0"/>
          <w:numId w:val="2"/>
        </w:numPr>
      </w:pPr>
      <w:r>
        <w:t>Solar.com, Selling a Home With Leased Solar Panels — solar.com/learn/selling-a-home-with-leased-solar-panels/</w:t>
      </w:r>
    </w:p>
    <w:p w14:paraId="50000060" w14:textId="77777777" w:rsidR="008F47C3" w:rsidRDefault="00000000">
      <w:pPr>
        <w:pStyle w:val="ListParagraph"/>
        <w:numPr>
          <w:ilvl w:val="0"/>
          <w:numId w:val="2"/>
        </w:numPr>
      </w:pPr>
      <w:r>
        <w:t>8MSolar — 8msolar.com/how-to-transfer-solar-panels-to-a-new-owner/</w:t>
      </w:r>
    </w:p>
    <w:p w14:paraId="50000061" w14:textId="77777777" w:rsidR="008F47C3" w:rsidRDefault="00000000">
      <w:pPr>
        <w:pStyle w:val="ListParagraph"/>
        <w:numPr>
          <w:ilvl w:val="0"/>
          <w:numId w:val="2"/>
        </w:numPr>
      </w:pPr>
      <w:r>
        <w:t>Utilities For My Home — utilitiesformyhome.com/solar/power-purchase-agreements/</w:t>
      </w:r>
    </w:p>
    <w:p w14:paraId="50000062" w14:textId="77777777" w:rsidR="008F47C3" w:rsidRDefault="008F47C3">
      <w:pPr>
        <w:spacing w:after="120"/>
      </w:pPr>
    </w:p>
    <w:p w14:paraId="50000063" w14:textId="77777777" w:rsidR="008F47C3" w:rsidRDefault="00000000">
      <w:pPr>
        <w:pStyle w:val="Heading1"/>
      </w:pPr>
      <w:r>
        <w:t>Section 14: Website Build Instructions (For Claude Code)</w:t>
      </w:r>
    </w:p>
    <w:p w14:paraId="50000064" w14:textId="77777777" w:rsidR="008F47C3" w:rsidRDefault="00000000">
      <w:pPr>
        <w:spacing w:after="120"/>
      </w:pPr>
      <w:r>
        <w:t>This section captures the design decisions made during the brainstorm phase. It is intended to be read by Claude Code when the website is built, and to preserve the design rationale for future reference. The design is driven by the data shape and the target audience, not by a visual template inherited from the visa project.</w:t>
      </w:r>
    </w:p>
    <w:p w14:paraId="50000065" w14:textId="77777777" w:rsidR="008F47C3" w:rsidRDefault="00000000">
      <w:pPr>
        <w:pStyle w:val="Heading2"/>
      </w:pPr>
      <w:r>
        <w:t>Diagram Architecture: Bottom-to-Top Vertical Tier</w:t>
      </w:r>
    </w:p>
    <w:p w14:paraId="50000066" w14:textId="77777777" w:rsidR="008F47C3" w:rsidRDefault="00000000">
      <w:pPr>
        <w:spacing w:after="120"/>
      </w:pPr>
      <w:r>
        <w:t>Orientation is vertical, bottom-to-top, following the money upward. Three tiers, stacked.</w:t>
      </w:r>
    </w:p>
    <w:p w14:paraId="50000067" w14:textId="77777777" w:rsidR="008F47C3" w:rsidRDefault="00000000">
      <w:pPr>
        <w:pStyle w:val="ListParagraph"/>
        <w:numPr>
          <w:ilvl w:val="0"/>
          <w:numId w:val="2"/>
        </w:numPr>
      </w:pPr>
      <w:r>
        <w:t>Bottom tier: People. Source of all money. Unorganized. No logos, no names, just abstract labels ("American taxpayers," "ratepayers," "buyers/renters")</w:t>
      </w:r>
    </w:p>
    <w:p w14:paraId="50000068" w14:textId="77777777" w:rsidR="008F47C3" w:rsidRDefault="00000000">
      <w:pPr>
        <w:pStyle w:val="ListParagraph"/>
        <w:numPr>
          <w:ilvl w:val="0"/>
          <w:numId w:val="2"/>
        </w:numPr>
      </w:pPr>
      <w:r>
        <w:t>Middle tier: Government. Conduit. Collects from below, redirects upward. Agency names only, no logos (HUD, FERC, state PUCs, city councils)</w:t>
      </w:r>
    </w:p>
    <w:p w14:paraId="50000069" w14:textId="77777777" w:rsidR="008F47C3" w:rsidRDefault="00000000">
      <w:pPr>
        <w:pStyle w:val="ListParagraph"/>
        <w:numPr>
          <w:ilvl w:val="0"/>
          <w:numId w:val="2"/>
        </w:numPr>
      </w:pPr>
      <w:r>
        <w:t>Top tier: Companies. Destination. Where the money accumulates. Company logos live here</w:t>
      </w:r>
    </w:p>
    <w:p w14:paraId="5000006A" w14:textId="77777777" w:rsidR="008F47C3" w:rsidRDefault="00000000">
      <w:pPr>
        <w:spacing w:after="120"/>
      </w:pPr>
      <w:r>
        <w:t>The visual reads the same way money actually moves in the system: from a broad base at the bottom to a narrow peak at the top. This inverts the civics-textbook hierarchy (which places government on top), and the inversion is itself part of the argument.</w:t>
      </w:r>
    </w:p>
    <w:p w14:paraId="5000006B" w14:textId="77777777" w:rsidR="008F47C3" w:rsidRDefault="00000000">
      <w:pPr>
        <w:pStyle w:val="Heading2"/>
      </w:pPr>
      <w:r>
        <w:t>Arrows Between Tiers</w:t>
      </w:r>
    </w:p>
    <w:p w14:paraId="5000006C" w14:textId="77777777" w:rsidR="008F47C3" w:rsidRDefault="00000000">
      <w:pPr>
        <w:pStyle w:val="Heading3"/>
      </w:pPr>
      <w:r>
        <w:t>Upward (dominant flows)</w:t>
      </w:r>
    </w:p>
    <w:p w14:paraId="5000006D" w14:textId="77777777" w:rsidR="008F47C3" w:rsidRDefault="00000000">
      <w:pPr>
        <w:pStyle w:val="ListParagraph"/>
        <w:numPr>
          <w:ilvl w:val="0"/>
          <w:numId w:val="2"/>
        </w:numPr>
      </w:pPr>
      <w:r>
        <w:t>People → Government: taxes (federal income, state, local, property, sales)</w:t>
      </w:r>
    </w:p>
    <w:p w14:paraId="5000006E" w14:textId="77777777" w:rsidR="008F47C3" w:rsidRDefault="00000000">
      <w:pPr>
        <w:pStyle w:val="ListParagraph"/>
        <w:numPr>
          <w:ilvl w:val="0"/>
          <w:numId w:val="2"/>
        </w:numPr>
      </w:pPr>
      <w:r>
        <w:t>People → Companies: rent, utility bills, purchase prices, HOA assessments, hidden/junk fees</w:t>
      </w:r>
    </w:p>
    <w:p w14:paraId="5000006F" w14:textId="77777777" w:rsidR="008F47C3" w:rsidRDefault="00000000">
      <w:pPr>
        <w:pStyle w:val="ListParagraph"/>
        <w:numPr>
          <w:ilvl w:val="0"/>
          <w:numId w:val="2"/>
        </w:numPr>
      </w:pPr>
      <w:r>
        <w:t>Government → Companies: subsidies, tax credits, guaranteed rate-of-return, Section 8 payments, LIHTC equity, eminent domain grants, liability shields</w:t>
      </w:r>
    </w:p>
    <w:p w14:paraId="50000070" w14:textId="77777777" w:rsidR="008F47C3" w:rsidRDefault="00000000">
      <w:pPr>
        <w:pStyle w:val="Heading3"/>
      </w:pPr>
      <w:r>
        <w:t>Upward (small but critical)</w:t>
      </w:r>
    </w:p>
    <w:p w14:paraId="50000071" w14:textId="77777777" w:rsidR="008F47C3" w:rsidRDefault="00000000">
      <w:pPr>
        <w:pStyle w:val="ListParagraph"/>
        <w:numPr>
          <w:ilvl w:val="0"/>
          <w:numId w:val="2"/>
        </w:numPr>
      </w:pPr>
      <w:r>
        <w:t>Companies → Government: lobbying money, campaign contributions</w:t>
      </w:r>
    </w:p>
    <w:p w14:paraId="50000072" w14:textId="77777777" w:rsidR="008F47C3" w:rsidRDefault="00000000">
      <w:pPr>
        <w:spacing w:after="120"/>
      </w:pPr>
      <w:r>
        <w:t>The lobbying arrow should be visually thin to reflect the actual dollar ratio compared to the subsidy flows it produces. A small investment in lobbying produces a much larger return in favorable rules. The visual asymmetry is part of the argument.</w:t>
      </w:r>
    </w:p>
    <w:p w14:paraId="50000073" w14:textId="77777777" w:rsidR="008F47C3" w:rsidRDefault="00000000">
      <w:pPr>
        <w:pStyle w:val="Heading3"/>
      </w:pPr>
      <w:r>
        <w:t>Downward (optional — sharpens vs. softens the argument)</w:t>
      </w:r>
    </w:p>
    <w:p w14:paraId="50000074" w14:textId="77777777" w:rsidR="008F47C3" w:rsidRDefault="00000000">
      <w:pPr>
        <w:pStyle w:val="ListParagraph"/>
        <w:numPr>
          <w:ilvl w:val="0"/>
          <w:numId w:val="2"/>
        </w:numPr>
      </w:pPr>
      <w:r>
        <w:t>Government → People: (ostensible) services, regulation</w:t>
      </w:r>
    </w:p>
    <w:p w14:paraId="50000075" w14:textId="77777777" w:rsidR="008F47C3" w:rsidRDefault="00000000">
      <w:pPr>
        <w:pStyle w:val="ListParagraph"/>
        <w:numPr>
          <w:ilvl w:val="0"/>
          <w:numId w:val="2"/>
        </w:numPr>
      </w:pPr>
      <w:r>
        <w:t>Companies → People: housing, electricity, product (quality variable)</w:t>
      </w:r>
    </w:p>
    <w:p w14:paraId="50000076" w14:textId="77777777" w:rsidR="008F47C3" w:rsidRDefault="00000000">
      <w:pPr>
        <w:pStyle w:val="Heading3"/>
      </w:pPr>
      <w:r>
        <w:t>Arrow Weighting and Multiple Arrows</w:t>
      </w:r>
    </w:p>
    <w:p w14:paraId="50000077" w14:textId="77777777" w:rsidR="008F47C3" w:rsidRDefault="00000000">
      <w:pPr>
        <w:spacing w:after="120"/>
      </w:pPr>
      <w:r>
        <w:lastRenderedPageBreak/>
        <w:t>Visual weight should be proportional to dollar flow. Thick arrows for major flows, thin arrows for lobbying. Where line-weight is unavailable, color can substitute. Multiple arrows between the same two tiers are permitted and encouraged where data supports them — different flow types get different arrows. Arrows can be grouped visually into a labeled bundle if density becomes a problem.</w:t>
      </w:r>
    </w:p>
    <w:p w14:paraId="50000078" w14:textId="77777777" w:rsidR="008F47C3" w:rsidRDefault="00000000">
      <w:pPr>
        <w:pStyle w:val="Heading2"/>
      </w:pPr>
      <w:r>
        <w:t>Context Boxes (Evidence Layer)</w:t>
      </w:r>
    </w:p>
    <w:p w14:paraId="50000079" w14:textId="77777777" w:rsidR="008F47C3" w:rsidRDefault="00000000">
      <w:pPr>
        <w:spacing w:after="120"/>
      </w:pPr>
      <w:r>
        <w:t>Context boxes are a separate visual layer from the mechanism diagram. Text boxes positioned around nodes and arrows. Types:</w:t>
      </w:r>
    </w:p>
    <w:p w14:paraId="5000007A" w14:textId="77777777" w:rsidR="008F47C3" w:rsidRDefault="00000000">
      <w:pPr>
        <w:pStyle w:val="ListParagraph"/>
        <w:numPr>
          <w:ilvl w:val="0"/>
          <w:numId w:val="2"/>
        </w:numPr>
      </w:pPr>
      <w:r>
        <w:t>Next to tiers: named actors, named agencies, logos</w:t>
      </w:r>
    </w:p>
    <w:p w14:paraId="5000007B" w14:textId="77777777" w:rsidR="008F47C3" w:rsidRDefault="00000000">
      <w:pPr>
        <w:pStyle w:val="ListParagraph"/>
        <w:numPr>
          <w:ilvl w:val="0"/>
          <w:numId w:val="2"/>
        </w:numPr>
      </w:pPr>
      <w:r>
        <w:t>Next to arrows: magnitudes, specific dollar figures, specific program names</w:t>
      </w:r>
    </w:p>
    <w:p w14:paraId="5000007C" w14:textId="77777777" w:rsidR="008F47C3" w:rsidRDefault="00000000">
      <w:pPr>
        <w:pStyle w:val="ListParagraph"/>
        <w:numPr>
          <w:ilvl w:val="0"/>
          <w:numId w:val="2"/>
        </w:numPr>
      </w:pPr>
      <w:r>
        <w:t>Next to node clusters: mechanism descriptions, key cases (Koontz, Sheetz, etc.)</w:t>
      </w:r>
    </w:p>
    <w:p w14:paraId="5000007D" w14:textId="77777777" w:rsidR="008F47C3" w:rsidRDefault="00000000">
      <w:pPr>
        <w:pStyle w:val="ListParagraph"/>
        <w:numPr>
          <w:ilvl w:val="0"/>
          <w:numId w:val="2"/>
        </w:numPr>
      </w:pPr>
      <w:r>
        <w:t>Floating: caveats, working-hypothesis labels</w:t>
      </w:r>
    </w:p>
    <w:p w14:paraId="5000007E" w14:textId="77777777" w:rsidR="008F47C3" w:rsidRDefault="00000000">
      <w:pPr>
        <w:spacing w:after="120"/>
      </w:pPr>
      <w:r>
        <w:t>Design principle: the mechanism layer (nodes and arrows) and the evidence layer (text boxes) must be visually distinct. Different typography, different color, different weight. The viewer looks at the mechanism to see the pattern, then drills into text boxes for specifics.</w:t>
      </w:r>
    </w:p>
    <w:p w14:paraId="5000007F" w14:textId="77777777" w:rsidR="008F47C3" w:rsidRDefault="00000000">
      <w:pPr>
        <w:pStyle w:val="Heading2"/>
      </w:pPr>
      <w:r>
        <w:t>Company Logos</w:t>
      </w:r>
    </w:p>
    <w:p w14:paraId="50000080" w14:textId="77777777" w:rsidR="008F47C3" w:rsidRDefault="00000000">
      <w:pPr>
        <w:spacing w:after="120"/>
      </w:pPr>
      <w:r>
        <w:t>Placement: top tier only (Companies).</w:t>
      </w:r>
    </w:p>
    <w:p w14:paraId="50000081" w14:textId="77777777" w:rsidR="008F47C3" w:rsidRDefault="00000000">
      <w:pPr>
        <w:pStyle w:val="ListParagraph"/>
        <w:numPr>
          <w:ilvl w:val="0"/>
          <w:numId w:val="2"/>
        </w:numPr>
      </w:pPr>
      <w:r>
        <w:t>Grayscale or muted single-color to read as labels, not advertising</w:t>
      </w:r>
    </w:p>
    <w:p w14:paraId="50000082" w14:textId="77777777" w:rsidR="008F47C3" w:rsidRDefault="00000000">
      <w:pPr>
        <w:pStyle w:val="ListParagraph"/>
        <w:numPr>
          <w:ilvl w:val="0"/>
          <w:numId w:val="2"/>
        </w:numPr>
      </w:pPr>
      <w:r>
        <w:t>Consistent sizing across logos</w:t>
      </w:r>
    </w:p>
    <w:p w14:paraId="50000083" w14:textId="77777777" w:rsidR="008F47C3" w:rsidRDefault="00000000">
      <w:pPr>
        <w:pStyle w:val="ListParagraph"/>
        <w:numPr>
          <w:ilvl w:val="0"/>
          <w:numId w:val="2"/>
        </w:numPr>
      </w:pPr>
      <w:r>
        <w:t>Recognizable names only — no obscure companies</w:t>
      </w:r>
    </w:p>
    <w:p w14:paraId="50000084" w14:textId="77777777" w:rsidR="008F47C3" w:rsidRDefault="00000000">
      <w:pPr>
        <w:pStyle w:val="ListParagraph"/>
        <w:numPr>
          <w:ilvl w:val="0"/>
          <w:numId w:val="2"/>
        </w:numPr>
      </w:pPr>
      <w:r>
        <w:t>Fair use is defensible for academic commentary; not a concern for this use case</w:t>
      </w:r>
    </w:p>
    <w:p w14:paraId="50000085" w14:textId="77777777" w:rsidR="008F47C3" w:rsidRDefault="00000000">
      <w:pPr>
        <w:pStyle w:val="Heading3"/>
      </w:pPr>
      <w:r>
        <w:t>Named Companies for Logos</w:t>
      </w:r>
    </w:p>
    <w:p w14:paraId="50000086" w14:textId="77777777" w:rsidR="008F47C3" w:rsidRDefault="00000000">
      <w:pPr>
        <w:spacing w:after="120"/>
      </w:pPr>
      <w:r>
        <w:t>Exaction side / housing: Greystar, Lennar, D.R. Horton, Alliance Residential, Mill Creek Residential. Secondary: Pulte, KB Home, Meritage.</w:t>
      </w:r>
    </w:p>
    <w:p w14:paraId="50000087" w14:textId="77777777" w:rsidR="008F47C3" w:rsidRDefault="00000000">
      <w:pPr>
        <w:spacing w:after="120"/>
      </w:pPr>
      <w:r>
        <w:t>Utility side: PG&amp;E, Duke Energy, Southern Company, Con Edison, ComEd/Exelon.</w:t>
      </w:r>
    </w:p>
    <w:p w14:paraId="50000088" w14:textId="77777777" w:rsidR="008F47C3" w:rsidRDefault="00000000">
      <w:pPr>
        <w:spacing w:after="120"/>
      </w:pPr>
      <w:r>
        <w:t>Optional connective tissue (if pulling from visa project): BlackRock, Vanguard, State Street.</w:t>
      </w:r>
    </w:p>
    <w:p w14:paraId="50000089" w14:textId="77777777" w:rsidR="008F47C3" w:rsidRDefault="00000000">
      <w:pPr>
        <w:pStyle w:val="Heading2"/>
      </w:pPr>
      <w:r>
        <w:t>Law School Panel (Below Diagram)</w:t>
      </w:r>
    </w:p>
    <w:p w14:paraId="5000008A" w14:textId="77777777" w:rsidR="008F47C3" w:rsidRDefault="00000000">
      <w:pPr>
        <w:spacing w:after="120"/>
      </w:pPr>
      <w:r>
        <w:t>Positioning: below the diagram, beneath the People tier. One panel per side — utility panel and exaction panel. Text-only. Prose, not bulleted lists unless the flow demands it.</w:t>
      </w:r>
    </w:p>
    <w:p w14:paraId="5000008B" w14:textId="77777777" w:rsidR="008F47C3" w:rsidRDefault="00000000">
      <w:pPr>
        <w:pStyle w:val="Heading3"/>
      </w:pPr>
      <w:r>
        <w:t>Utility Panel Content</w:t>
      </w:r>
    </w:p>
    <w:p w14:paraId="5000008C" w14:textId="77777777" w:rsidR="008F47C3" w:rsidRDefault="00000000">
      <w:pPr>
        <w:spacing w:after="120"/>
      </w:pPr>
      <w:r>
        <w:t>How law schools feed the utility legal and regulatory ecosystem. Pipeline from law school → BigLaw energy/regulatory practices → PUC commissioners → utility in-house counsel → back to regulatory bodies. Institutional layer: EEI (Edison Electric Institute) and NARUC (National Association of Regulatory Utility Commissioners).</w:t>
      </w:r>
    </w:p>
    <w:p w14:paraId="5000008D" w14:textId="77777777" w:rsidR="008F47C3" w:rsidRDefault="00000000">
      <w:pPr>
        <w:pStyle w:val="Heading3"/>
      </w:pPr>
      <w:r>
        <w:t>Exaction Panel Content</w:t>
      </w:r>
    </w:p>
    <w:p w14:paraId="5000008E" w14:textId="77777777" w:rsidR="008F47C3" w:rsidRDefault="00000000">
      <w:pPr>
        <w:spacing w:after="120"/>
      </w:pPr>
      <w:r>
        <w:t>How law schools feed land use and real estate legal ecosystem. Land use clinics → BigLaw real estate practices → city attorney offices → developer in-house counsel. Pacific Legal Foundation as strategic litigation funder — directly tied to the Koontz and Sheetz cases that define the current doctrine.</w:t>
      </w:r>
    </w:p>
    <w:p w14:paraId="5000008F" w14:textId="77777777" w:rsidR="008F47C3" w:rsidRDefault="00000000">
      <w:pPr>
        <w:pStyle w:val="Heading3"/>
      </w:pPr>
      <w:r>
        <w:lastRenderedPageBreak/>
        <w:t>Tone</w:t>
      </w:r>
    </w:p>
    <w:p w14:paraId="50000090" w14:textId="77777777" w:rsidR="008F47C3" w:rsidRDefault="00000000">
      <w:pPr>
        <w:spacing w:after="120"/>
      </w:pPr>
      <w:r>
        <w:t>Factual, structural, not polemical. Match the rest of the document. Do not force sentence-for-sentence symmetry between the two panels. Let each panel say what is true about its half. The structural similarity is visible in the pattern of what is named, not in matching word counts.</w:t>
      </w:r>
    </w:p>
    <w:p w14:paraId="50000091" w14:textId="77777777" w:rsidR="008F47C3" w:rsidRDefault="00000000">
      <w:pPr>
        <w:pStyle w:val="Heading2"/>
      </w:pPr>
      <w:r>
        <w:t>Overall Figure Layout</w:t>
      </w:r>
    </w:p>
    <w:p w14:paraId="50000092" w14:textId="77777777" w:rsidR="008F47C3" w:rsidRDefault="00000000">
      <w:pPr>
        <w:spacing w:after="120"/>
      </w:pPr>
      <w:r>
        <w:t>Two complete diagrams, one per side of the thesis:</w:t>
      </w:r>
    </w:p>
    <w:p w14:paraId="50000093" w14:textId="77777777" w:rsidR="008F47C3" w:rsidRDefault="00000000">
      <w:pPr>
        <w:pStyle w:val="ListParagraph"/>
        <w:numPr>
          <w:ilvl w:val="0"/>
          <w:numId w:val="2"/>
        </w:numPr>
      </w:pPr>
      <w:r>
        <w:t>Left: Utility vertical tier + utility law school panel below</w:t>
      </w:r>
    </w:p>
    <w:p w14:paraId="50000094" w14:textId="77777777" w:rsidR="008F47C3" w:rsidRDefault="00000000">
      <w:pPr>
        <w:pStyle w:val="ListParagraph"/>
        <w:numPr>
          <w:ilvl w:val="0"/>
          <w:numId w:val="2"/>
        </w:numPr>
      </w:pPr>
      <w:r>
        <w:t>Right: Exaction vertical tier + exaction law school panel below</w:t>
      </w:r>
    </w:p>
    <w:p w14:paraId="50000095" w14:textId="77777777" w:rsidR="008F47C3" w:rsidRDefault="00000000">
      <w:pPr>
        <w:spacing w:after="120"/>
      </w:pPr>
      <w:r>
        <w:t>Side-by-side, not stacked. Forces comparison, which is what the professor audience benefits from. Separate People tiers per side (not shared base) — each side can be read independently and shared base would create layout complications.</w:t>
      </w:r>
    </w:p>
    <w:p w14:paraId="50000096" w14:textId="77777777" w:rsidR="008F47C3" w:rsidRDefault="00000000">
      <w:pPr>
        <w:pStyle w:val="Heading2"/>
      </w:pPr>
      <w:r>
        <w:t>Deliverable Purpose</w:t>
      </w:r>
    </w:p>
    <w:p w14:paraId="50000097" w14:textId="77777777" w:rsidR="008F47C3" w:rsidRDefault="00000000">
      <w:pPr>
        <w:pStyle w:val="Heading3"/>
      </w:pPr>
      <w:r>
        <w:t>Target Audience</w:t>
      </w:r>
    </w:p>
    <w:p w14:paraId="50000098" w14:textId="77777777" w:rsidR="008F47C3" w:rsidRDefault="00000000">
      <w:pPr>
        <w:spacing w:after="120"/>
      </w:pPr>
      <w:r>
        <w:t>Property law professor. Disheveled office. Loves engaging with students who engage with the material. Responds to think-first-respond-later dynamic. Already understands the parallel — he primed the conversation during class by telling the user to "hold that thought" specifically to preserve fresh pattern recognition before doctrinal training could bias the instinct.</w:t>
      </w:r>
    </w:p>
    <w:p w14:paraId="50000099" w14:textId="77777777" w:rsidR="008F47C3" w:rsidRDefault="00000000">
      <w:pPr>
        <w:pStyle w:val="Heading3"/>
      </w:pPr>
      <w:r>
        <w:t>Primary Purpose</w:t>
      </w:r>
    </w:p>
    <w:p w14:paraId="5000009A" w14:textId="77777777" w:rsidR="008F47C3" w:rsidRDefault="00000000">
      <w:pPr>
        <w:spacing w:after="120"/>
      </w:pPr>
      <w:r>
        <w:t>Mental model testing artifact. Invitation to discussion, not a persuasion tool. A visual framework the professor can think through and push back on. High intellectual aggression methodology — the framework exists to be tested. If it survives adversarial examination, it models something real. If not, the user needs to know.</w:t>
      </w:r>
    </w:p>
    <w:p w14:paraId="5000009B" w14:textId="77777777" w:rsidR="008F47C3" w:rsidRDefault="00000000">
      <w:pPr>
        <w:pStyle w:val="Heading3"/>
      </w:pPr>
      <w:r>
        <w:t>Not a Published Paper</w:t>
      </w:r>
    </w:p>
    <w:p w14:paraId="5000009C" w14:textId="77777777" w:rsidR="008F47C3" w:rsidRDefault="00000000">
      <w:pPr>
        <w:spacing w:after="120"/>
      </w:pPr>
      <w:r>
        <w:t>Not complete. Does not need to be complete. Working hypotheses must remain explicitly labeled as such throughout the final output.</w:t>
      </w:r>
    </w:p>
    <w:p w14:paraId="5000009D" w14:textId="77777777" w:rsidR="008F47C3" w:rsidRDefault="00000000">
      <w:pPr>
        <w:pStyle w:val="Heading3"/>
      </w:pPr>
      <w:r>
        <w:t>Secondary Purpose</w:t>
      </w:r>
    </w:p>
    <w:p w14:paraId="5000009E" w14:textId="77777777" w:rsidR="008F47C3" w:rsidRDefault="00000000">
      <w:pPr>
        <w:spacing w:after="120"/>
      </w:pPr>
      <w:r>
        <w:t>Catalog for future use. Permanent URL the professor can revisit, share with other students, or reference later. Integrated into the user's existing Incentive-Machine repository structure alongside the visa project.</w:t>
      </w:r>
    </w:p>
    <w:p w14:paraId="5000009F" w14:textId="77777777" w:rsidR="008F47C3" w:rsidRDefault="00000000">
      <w:pPr>
        <w:pStyle w:val="Heading2"/>
      </w:pPr>
      <w:r>
        <w:t>Instructions for Claude Code</w:t>
      </w:r>
    </w:p>
    <w:p w14:paraId="500000A0" w14:textId="77777777" w:rsidR="008F47C3" w:rsidRDefault="00000000">
      <w:pPr>
        <w:spacing w:after="120"/>
      </w:pPr>
      <w:r>
        <w:t>When Claude Code references this document as context for building the website:</w:t>
      </w:r>
    </w:p>
    <w:p w14:paraId="500000A1" w14:textId="77777777" w:rsidR="008F47C3" w:rsidRDefault="00000000">
      <w:pPr>
        <w:pStyle w:val="ListParagraph"/>
        <w:numPr>
          <w:ilvl w:val="0"/>
          <w:numId w:val="2"/>
        </w:numPr>
      </w:pPr>
      <w:r>
        <w:t>Do not treat the visa project as a content template. Mirror architecture and visual pattern only. Content structure is driven by the data of this subject, not by what the visa project did</w:t>
      </w:r>
    </w:p>
    <w:p w14:paraId="500000A2" w14:textId="77777777" w:rsidR="008F47C3" w:rsidRDefault="00000000">
      <w:pPr>
        <w:pStyle w:val="ListParagraph"/>
        <w:numPr>
          <w:ilvl w:val="0"/>
          <w:numId w:val="2"/>
        </w:numPr>
      </w:pPr>
      <w:r>
        <w:t>The diagram is the primary deliverable. Vertical tier, bottom-to-top, three tiers, labeled arrows between tiers, multiple arrows permitted between same tiers where data supports, context boxes in a separate visual layer, company logos in top tier only</w:t>
      </w:r>
    </w:p>
    <w:p w14:paraId="500000A3" w14:textId="77777777" w:rsidR="008F47C3" w:rsidRDefault="00000000">
      <w:pPr>
        <w:pStyle w:val="ListParagraph"/>
        <w:numPr>
          <w:ilvl w:val="0"/>
          <w:numId w:val="2"/>
        </w:numPr>
      </w:pPr>
      <w:r>
        <w:t>Two diagrams side by side, one per side of the thesis. Utility left, exaction right. Law school text panel below each</w:t>
      </w:r>
    </w:p>
    <w:p w14:paraId="500000A4" w14:textId="77777777" w:rsidR="008F47C3" w:rsidRDefault="00000000">
      <w:pPr>
        <w:pStyle w:val="ListParagraph"/>
        <w:numPr>
          <w:ilvl w:val="0"/>
          <w:numId w:val="2"/>
        </w:numPr>
      </w:pPr>
      <w:r>
        <w:lastRenderedPageBreak/>
        <w:t>Working hypotheses are never conclusions. This document contains explicitly labeled working hypotheses. Present them as such in the final output. Do not smooth over provisional language</w:t>
      </w:r>
    </w:p>
    <w:p w14:paraId="500000A5" w14:textId="77777777" w:rsidR="008F47C3" w:rsidRDefault="00000000">
      <w:pPr>
        <w:pStyle w:val="ListParagraph"/>
        <w:numPr>
          <w:ilvl w:val="0"/>
          <w:numId w:val="2"/>
        </w:numPr>
      </w:pPr>
      <w:r>
        <w:t>The AI reader note at the top of this document applies to the website output as well. The parallel is structural, not identity. Do not force equivalence where data does not support it</w:t>
      </w:r>
    </w:p>
    <w:p w14:paraId="500000A6" w14:textId="77777777" w:rsidR="008F47C3" w:rsidRDefault="00000000">
      <w:pPr>
        <w:pStyle w:val="ListParagraph"/>
        <w:numPr>
          <w:ilvl w:val="0"/>
          <w:numId w:val="2"/>
        </w:numPr>
      </w:pPr>
      <w:r>
        <w:t>The professor is the audience. Tone is factual, structural, slightly understated. Not polemical. Not conspiratorial. Let the evidence do the arguing</w:t>
      </w:r>
    </w:p>
    <w:p w14:paraId="500000A7" w14:textId="77777777" w:rsidR="008F47C3" w:rsidRDefault="00000000">
      <w:pPr>
        <w:pStyle w:val="ListParagraph"/>
        <w:numPr>
          <w:ilvl w:val="0"/>
          <w:numId w:val="2"/>
        </w:numPr>
      </w:pPr>
      <w:r>
        <w:t>Company logos are grayscale/muted, consistent sizing, recognizable names only. Trademark/fair use is not a blocker — this is academic commentary</w:t>
      </w:r>
    </w:p>
    <w:p w14:paraId="500000A8" w14:textId="77777777" w:rsidR="008F47C3" w:rsidRDefault="00000000">
      <w:pPr>
        <w:pStyle w:val="ListParagraph"/>
        <w:numPr>
          <w:ilvl w:val="0"/>
          <w:numId w:val="2"/>
        </w:numPr>
      </w:pPr>
      <w:r>
        <w:t>Split-screen construction/utility image recommended for background. User has selected Adobe Stock as source. Matching visual weight on both sides — similar lighting, similar mood, similar era</w:t>
      </w:r>
    </w:p>
    <w:p w14:paraId="500000A9" w14:textId="77777777" w:rsidR="008F47C3" w:rsidRDefault="00000000">
      <w:pPr>
        <w:pStyle w:val="ListParagraph"/>
        <w:numPr>
          <w:ilvl w:val="0"/>
          <w:numId w:val="2"/>
        </w:numPr>
      </w:pPr>
      <w:r>
        <w:t>Website should be catalogued at a permanent URL in the user's existing Incentive-Machine repository structure, following the pattern established by the visa project</w:t>
      </w:r>
    </w:p>
    <w:p w14:paraId="500000AA" w14:textId="77777777" w:rsidR="008F47C3" w:rsidRDefault="008F47C3">
      <w:pPr>
        <w:spacing w:after="120"/>
      </w:pPr>
    </w:p>
    <w:sectPr w:rsidR="008F47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B8F"/>
    <w:multiLevelType w:val="hybridMultilevel"/>
    <w:tmpl w:val="F7DA0AA2"/>
    <w:lvl w:ilvl="0" w:tplc="22ACA6F2">
      <w:start w:val="1"/>
      <w:numFmt w:val="bullet"/>
      <w:lvlText w:val="●"/>
      <w:lvlJc w:val="left"/>
      <w:pPr>
        <w:ind w:left="720" w:hanging="360"/>
      </w:pPr>
    </w:lvl>
    <w:lvl w:ilvl="1" w:tplc="39A8327E">
      <w:start w:val="1"/>
      <w:numFmt w:val="bullet"/>
      <w:lvlText w:val="○"/>
      <w:lvlJc w:val="left"/>
      <w:pPr>
        <w:ind w:left="1440" w:hanging="360"/>
      </w:pPr>
    </w:lvl>
    <w:lvl w:ilvl="2" w:tplc="76F61A8C">
      <w:start w:val="1"/>
      <w:numFmt w:val="bullet"/>
      <w:lvlText w:val="■"/>
      <w:lvlJc w:val="left"/>
      <w:pPr>
        <w:ind w:left="2160" w:hanging="360"/>
      </w:pPr>
    </w:lvl>
    <w:lvl w:ilvl="3" w:tplc="BA04BC84">
      <w:start w:val="1"/>
      <w:numFmt w:val="bullet"/>
      <w:lvlText w:val="●"/>
      <w:lvlJc w:val="left"/>
      <w:pPr>
        <w:ind w:left="2880" w:hanging="360"/>
      </w:pPr>
    </w:lvl>
    <w:lvl w:ilvl="4" w:tplc="C8F85E10">
      <w:start w:val="1"/>
      <w:numFmt w:val="bullet"/>
      <w:lvlText w:val="○"/>
      <w:lvlJc w:val="left"/>
      <w:pPr>
        <w:ind w:left="3600" w:hanging="360"/>
      </w:pPr>
    </w:lvl>
    <w:lvl w:ilvl="5" w:tplc="192A9ED6">
      <w:start w:val="1"/>
      <w:numFmt w:val="bullet"/>
      <w:lvlText w:val="■"/>
      <w:lvlJc w:val="left"/>
      <w:pPr>
        <w:ind w:left="4320" w:hanging="360"/>
      </w:pPr>
    </w:lvl>
    <w:lvl w:ilvl="6" w:tplc="2168107A">
      <w:start w:val="1"/>
      <w:numFmt w:val="bullet"/>
      <w:lvlText w:val="●"/>
      <w:lvlJc w:val="left"/>
      <w:pPr>
        <w:ind w:left="5040" w:hanging="360"/>
      </w:pPr>
    </w:lvl>
    <w:lvl w:ilvl="7" w:tplc="8E0E5AF6">
      <w:start w:val="1"/>
      <w:numFmt w:val="bullet"/>
      <w:lvlText w:val="●"/>
      <w:lvlJc w:val="left"/>
      <w:pPr>
        <w:ind w:left="5760" w:hanging="360"/>
      </w:pPr>
    </w:lvl>
    <w:lvl w:ilvl="8" w:tplc="23F48F9C">
      <w:start w:val="1"/>
      <w:numFmt w:val="bullet"/>
      <w:lvlText w:val="●"/>
      <w:lvlJc w:val="left"/>
      <w:pPr>
        <w:ind w:left="6480" w:hanging="360"/>
      </w:pPr>
    </w:lvl>
  </w:abstractNum>
  <w:abstractNum w:abstractNumId="1" w15:restartNumberingAfterBreak="0">
    <w:nsid w:val="192E1DD3"/>
    <w:multiLevelType w:val="hybridMultilevel"/>
    <w:tmpl w:val="F0521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A14106"/>
    <w:multiLevelType w:val="hybridMultilevel"/>
    <w:tmpl w:val="709ECA5E"/>
    <w:lvl w:ilvl="0" w:tplc="2200AA7A">
      <w:start w:val="1"/>
      <w:numFmt w:val="bullet"/>
      <w:lvlText w:val="•"/>
      <w:lvlJc w:val="left"/>
      <w:pPr>
        <w:ind w:left="720" w:hanging="360"/>
      </w:pPr>
    </w:lvl>
    <w:lvl w:ilvl="1" w:tplc="A3FC89DC">
      <w:numFmt w:val="decimal"/>
      <w:lvlText w:val=""/>
      <w:lvlJc w:val="left"/>
    </w:lvl>
    <w:lvl w:ilvl="2" w:tplc="37D07D42">
      <w:numFmt w:val="decimal"/>
      <w:lvlText w:val=""/>
      <w:lvlJc w:val="left"/>
    </w:lvl>
    <w:lvl w:ilvl="3" w:tplc="B2527296">
      <w:numFmt w:val="decimal"/>
      <w:lvlText w:val=""/>
      <w:lvlJc w:val="left"/>
    </w:lvl>
    <w:lvl w:ilvl="4" w:tplc="54CEDF46">
      <w:numFmt w:val="decimal"/>
      <w:lvlText w:val=""/>
      <w:lvlJc w:val="left"/>
    </w:lvl>
    <w:lvl w:ilvl="5" w:tplc="178842AA">
      <w:numFmt w:val="decimal"/>
      <w:lvlText w:val=""/>
      <w:lvlJc w:val="left"/>
    </w:lvl>
    <w:lvl w:ilvl="6" w:tplc="07FA4DAE">
      <w:numFmt w:val="decimal"/>
      <w:lvlText w:val=""/>
      <w:lvlJc w:val="left"/>
    </w:lvl>
    <w:lvl w:ilvl="7" w:tplc="9D0C5266">
      <w:numFmt w:val="decimal"/>
      <w:lvlText w:val=""/>
      <w:lvlJc w:val="left"/>
    </w:lvl>
    <w:lvl w:ilvl="8" w:tplc="A3DCDAC4">
      <w:numFmt w:val="decimal"/>
      <w:lvlText w:val=""/>
      <w:lvlJc w:val="left"/>
    </w:lvl>
  </w:abstractNum>
  <w:num w:numId="1" w16cid:durableId="107749471">
    <w:abstractNumId w:val="0"/>
    <w:lvlOverride w:ilvl="0">
      <w:startOverride w:val="1"/>
    </w:lvlOverride>
  </w:num>
  <w:num w:numId="2" w16cid:durableId="858932889">
    <w:abstractNumId w:val="2"/>
    <w:lvlOverride w:ilvl="0">
      <w:startOverride w:val="1"/>
    </w:lvlOverride>
  </w:num>
  <w:num w:numId="3" w16cid:durableId="1288704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7C3"/>
    <w:rsid w:val="00006B7D"/>
    <w:rsid w:val="007639A6"/>
    <w:rsid w:val="00832B38"/>
    <w:rsid w:val="00852AB9"/>
    <w:rsid w:val="008F47C3"/>
    <w:rsid w:val="00CC6330"/>
    <w:rsid w:val="00FC2E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9F0CE50"/>
  <w15:docId w15:val="{DA87742D-35F8-2D42-B1A7-25DD1F1E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6"/>
      <w:szCs w:val="36"/>
    </w:rPr>
  </w:style>
  <w:style w:type="paragraph" w:styleId="Heading2">
    <w:name w:val="heading 2"/>
    <w:uiPriority w:val="9"/>
    <w:unhideWhenUsed/>
    <w:qFormat/>
    <w:pPr>
      <w:spacing w:before="240" w:after="120"/>
      <w:outlineLvl w:val="1"/>
    </w:pPr>
    <w:rPr>
      <w:b/>
      <w:bCs/>
      <w:color w:val="2E4057"/>
      <w:sz w:val="28"/>
      <w:szCs w:val="28"/>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FC2E0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2E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8153</Words>
  <Characters>46478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Stuckert</cp:lastModifiedBy>
  <cp:revision>4</cp:revision>
  <dcterms:created xsi:type="dcterms:W3CDTF">2026-04-22T01:32:00Z</dcterms:created>
  <dcterms:modified xsi:type="dcterms:W3CDTF">2026-04-22T14:41:00Z</dcterms:modified>
</cp:coreProperties>
</file>