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18724" w14:textId="56EE798C"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Website Build Instructions (For Claude Code)</w:t>
      </w:r>
    </w:p>
    <w:p w14:paraId="287A5B01"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This section captures the design decisions made during brainstorm and iteration. It is intended to be read by Claude Code when the website is built, and to preserve the design rationale for future reference. The design is driven by the data shape and the target audience, not by a visual template inherited from the visa project.</w:t>
      </w:r>
    </w:p>
    <w:p w14:paraId="7901F08E"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Architectural Mirror, Not Content Mirror</w:t>
      </w:r>
    </w:p>
    <w:p w14:paraId="5A766475"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Mirror the visa project's HTML/CSS architecture: nav, footer, typography, page scaffolding, dark aesthetic. Do not import content structure, thematic framings, or parallels from the visa project. The Professor Bray module is a separate branch of The Manufactured Divide with its own subject and its own argument.</w:t>
      </w:r>
    </w:p>
    <w:p w14:paraId="0AF8B380"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Page Order</w:t>
      </w:r>
    </w:p>
    <w:p w14:paraId="020AE48F"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Top to bottom:</w:t>
      </w:r>
    </w:p>
    <w:p w14:paraId="76EEF81F" w14:textId="77777777" w:rsidR="005123EE" w:rsidRPr="005A27EB" w:rsidRDefault="005123EE" w:rsidP="005123EE">
      <w:pPr>
        <w:numPr>
          <w:ilvl w:val="0"/>
          <w:numId w:val="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Split hero (Exaction image left, Utility image right, 20% dark overlay both sides, ends at a hard edge before panel content begins)</w:t>
      </w:r>
    </w:p>
    <w:p w14:paraId="48B1A39E" w14:textId="77777777" w:rsidR="005123EE" w:rsidRPr="005A27EB" w:rsidRDefault="005123EE" w:rsidP="005123EE">
      <w:pPr>
        <w:numPr>
          <w:ilvl w:val="0"/>
          <w:numId w:val="1"/>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Statement for Professor </w:t>
      </w:r>
      <w:r w:rsidRPr="005A27EB">
        <w:rPr>
          <w:rFonts w:ascii="Times New Roman" w:eastAsia="Times New Roman" w:hAnsi="Times New Roman" w:cs="Times New Roman"/>
          <w:sz w:val="24"/>
          <w:szCs w:val="24"/>
        </w:rPr>
        <w:t>Bray statement panel</w:t>
      </w:r>
    </w:p>
    <w:p w14:paraId="61DEB372" w14:textId="77777777" w:rsidR="005123EE" w:rsidRPr="005A27EB" w:rsidRDefault="005123EE" w:rsidP="005123EE">
      <w:pPr>
        <w:numPr>
          <w:ilvl w:val="0"/>
          <w:numId w:val="1"/>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Theories initial legal framework </w:t>
      </w:r>
      <w:r w:rsidRPr="005A27EB">
        <w:rPr>
          <w:rFonts w:ascii="Times New Roman" w:eastAsia="Times New Roman" w:hAnsi="Times New Roman" w:cs="Times New Roman"/>
          <w:sz w:val="24"/>
          <w:szCs w:val="24"/>
        </w:rPr>
        <w:t>box panel</w:t>
      </w:r>
    </w:p>
    <w:p w14:paraId="37970E75" w14:textId="77777777" w:rsidR="005123EE" w:rsidRPr="005A27EB" w:rsidRDefault="005123EE" w:rsidP="005123EE">
      <w:pPr>
        <w:numPr>
          <w:ilvl w:val="0"/>
          <w:numId w:val="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Working thesis panel</w:t>
      </w:r>
    </w:p>
    <w:p w14:paraId="39126383" w14:textId="77777777" w:rsidR="005123EE" w:rsidRPr="005A27EB" w:rsidRDefault="005123EE" w:rsidP="005123EE">
      <w:pPr>
        <w:numPr>
          <w:ilvl w:val="0"/>
          <w:numId w:val="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Diagram (two vertical diagrams side by side — Exaction left, Utility right)</w:t>
      </w:r>
    </w:p>
    <w:p w14:paraId="11807D99" w14:textId="77777777" w:rsidR="005123EE" w:rsidRPr="005A27EB" w:rsidRDefault="005123EE" w:rsidP="005123EE">
      <w:pPr>
        <w:numPr>
          <w:ilvl w:val="0"/>
          <w:numId w:val="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Jurisdictional Fragmentation panel (full width, visually distinct)</w:t>
      </w:r>
    </w:p>
    <w:p w14:paraId="095F045E" w14:textId="77777777" w:rsidR="005123EE" w:rsidRPr="005A27EB" w:rsidRDefault="005123EE" w:rsidP="005123EE">
      <w:pPr>
        <w:numPr>
          <w:ilvl w:val="0"/>
          <w:numId w:val="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Split law school panels (two side by side — Exaction left, Utility right — covering who recruits law students and where they end up)</w:t>
      </w:r>
    </w:p>
    <w:p w14:paraId="1D373CF4" w14:textId="77777777" w:rsidR="005123EE" w:rsidRPr="005A27EB" w:rsidRDefault="005123EE" w:rsidP="005123EE">
      <w:pPr>
        <w:numPr>
          <w:ilvl w:val="0"/>
          <w:numId w:val="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Combined law school panel (full width — culture, asymmetry of legibility, working hypothesis on professional socialization as capture mechanism)</w:t>
      </w:r>
    </w:p>
    <w:p w14:paraId="6B2A15F5" w14:textId="77777777" w:rsidR="005123EE" w:rsidRPr="005A27EB" w:rsidRDefault="005123EE" w:rsidP="005123EE">
      <w:pPr>
        <w:numPr>
          <w:ilvl w:val="0"/>
          <w:numId w:val="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Standard footer matching visa module</w:t>
      </w:r>
    </w:p>
    <w:p w14:paraId="4899567C"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Background behind panels is a single charcoal fill (</w:t>
      </w:r>
      <w:r w:rsidRPr="005A27EB">
        <w:rPr>
          <w:rFonts w:ascii="Courier New" w:eastAsia="Times New Roman" w:hAnsi="Courier New" w:cs="Courier New"/>
          <w:sz w:val="20"/>
          <w:szCs w:val="20"/>
        </w:rPr>
        <w:t>--</w:t>
      </w:r>
      <w:proofErr w:type="spellStart"/>
      <w:r w:rsidRPr="005A27EB">
        <w:rPr>
          <w:rFonts w:ascii="Courier New" w:eastAsia="Times New Roman" w:hAnsi="Courier New" w:cs="Courier New"/>
          <w:sz w:val="20"/>
          <w:szCs w:val="20"/>
        </w:rPr>
        <w:t>bg</w:t>
      </w:r>
      <w:proofErr w:type="spellEnd"/>
      <w:r w:rsidRPr="005A27EB">
        <w:rPr>
          <w:rFonts w:ascii="Courier New" w:eastAsia="Times New Roman" w:hAnsi="Courier New" w:cs="Courier New"/>
          <w:sz w:val="20"/>
          <w:szCs w:val="20"/>
        </w:rPr>
        <w:t>-page</w:t>
      </w:r>
      <w:r w:rsidRPr="005A27EB">
        <w:rPr>
          <w:rFonts w:ascii="Times New Roman" w:eastAsia="Times New Roman" w:hAnsi="Times New Roman" w:cs="Times New Roman"/>
          <w:sz w:val="24"/>
          <w:szCs w:val="24"/>
        </w:rPr>
        <w:t>) from below the hero through the footer. The split treatment lives in the hero only.</w:t>
      </w:r>
    </w:p>
    <w:p w14:paraId="3D979DE7"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 xml:space="preserve">Diagram Architecture: Vertical Tier, </w:t>
      </w:r>
    </w:p>
    <w:p w14:paraId="7C916C00"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Orientation is vertical, three tiers stacked:</w:t>
      </w:r>
    </w:p>
    <w:p w14:paraId="71E927F8" w14:textId="77777777" w:rsidR="005123EE" w:rsidRPr="005A27EB" w:rsidRDefault="005123EE" w:rsidP="005123EE">
      <w:pPr>
        <w:numPr>
          <w:ilvl w:val="0"/>
          <w:numId w:val="2"/>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 xml:space="preserve">Top tier: </w:t>
      </w:r>
      <w:r w:rsidRPr="005A27EB">
        <w:rPr>
          <w:rFonts w:ascii="Times New Roman" w:eastAsia="Times New Roman" w:hAnsi="Times New Roman" w:cs="Times New Roman"/>
          <w:b/>
          <w:bCs/>
          <w:sz w:val="24"/>
          <w:szCs w:val="24"/>
        </w:rPr>
        <w:t>Government</w:t>
      </w:r>
      <w:r w:rsidRPr="005A27EB">
        <w:rPr>
          <w:rFonts w:ascii="Times New Roman" w:eastAsia="Times New Roman" w:hAnsi="Times New Roman" w:cs="Times New Roman"/>
          <w:sz w:val="24"/>
          <w:szCs w:val="24"/>
        </w:rPr>
        <w:t xml:space="preserve">. Architectural apex. The entity that writes rules, grants </w:t>
      </w:r>
      <w:proofErr w:type="gramStart"/>
      <w:r w:rsidRPr="005A27EB">
        <w:rPr>
          <w:rFonts w:ascii="Times New Roman" w:eastAsia="Times New Roman" w:hAnsi="Times New Roman" w:cs="Times New Roman"/>
          <w:sz w:val="24"/>
          <w:szCs w:val="24"/>
        </w:rPr>
        <w:t>permits</w:t>
      </w:r>
      <w:proofErr w:type="gramEnd"/>
      <w:r w:rsidRPr="005A27EB">
        <w:rPr>
          <w:rFonts w:ascii="Times New Roman" w:eastAsia="Times New Roman" w:hAnsi="Times New Roman" w:cs="Times New Roman"/>
          <w:sz w:val="24"/>
          <w:szCs w:val="24"/>
        </w:rPr>
        <w:t>, sets rate-of-return, authorizes exactions, funds tax credits</w:t>
      </w:r>
      <w:r>
        <w:rPr>
          <w:rFonts w:ascii="Times New Roman" w:eastAsia="Times New Roman" w:hAnsi="Times New Roman" w:cs="Times New Roman"/>
          <w:sz w:val="24"/>
          <w:szCs w:val="24"/>
        </w:rPr>
        <w:t>, funds section 8</w:t>
      </w:r>
      <w:r w:rsidRPr="005A27EB">
        <w:rPr>
          <w:rFonts w:ascii="Times New Roman" w:eastAsia="Times New Roman" w:hAnsi="Times New Roman" w:cs="Times New Roman"/>
          <w:sz w:val="24"/>
          <w:szCs w:val="24"/>
        </w:rPr>
        <w:t>. Agency names only, no logos (HUD, FERC, state PUCs, city councils, IRS, state housing agencies)</w:t>
      </w:r>
    </w:p>
    <w:p w14:paraId="18AF4B8F" w14:textId="77777777" w:rsidR="005123EE" w:rsidRPr="005A27EB" w:rsidRDefault="005123EE" w:rsidP="005123EE">
      <w:pPr>
        <w:numPr>
          <w:ilvl w:val="0"/>
          <w:numId w:val="2"/>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 xml:space="preserve">Middle tier: </w:t>
      </w:r>
      <w:r w:rsidRPr="005A27EB">
        <w:rPr>
          <w:rFonts w:ascii="Times New Roman" w:eastAsia="Times New Roman" w:hAnsi="Times New Roman" w:cs="Times New Roman"/>
          <w:b/>
          <w:bCs/>
          <w:sz w:val="24"/>
          <w:szCs w:val="24"/>
        </w:rPr>
        <w:t>Companies</w:t>
      </w:r>
      <w:r w:rsidRPr="005A27EB">
        <w:rPr>
          <w:rFonts w:ascii="Times New Roman" w:eastAsia="Times New Roman" w:hAnsi="Times New Roman" w:cs="Times New Roman"/>
          <w:sz w:val="24"/>
          <w:szCs w:val="24"/>
        </w:rPr>
        <w:t>. Operational extraction layer. Where money accumulates and where decisions get executed. Company logos live here.</w:t>
      </w:r>
    </w:p>
    <w:p w14:paraId="17F2672C" w14:textId="77777777" w:rsidR="005123EE" w:rsidRPr="005A27EB" w:rsidRDefault="005123EE" w:rsidP="005123EE">
      <w:pPr>
        <w:numPr>
          <w:ilvl w:val="0"/>
          <w:numId w:val="2"/>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 xml:space="preserve">Bottom tier: </w:t>
      </w:r>
      <w:r w:rsidRPr="005A27EB">
        <w:rPr>
          <w:rFonts w:ascii="Times New Roman" w:eastAsia="Times New Roman" w:hAnsi="Times New Roman" w:cs="Times New Roman"/>
          <w:b/>
          <w:bCs/>
          <w:sz w:val="24"/>
          <w:szCs w:val="24"/>
        </w:rPr>
        <w:t>American People</w:t>
      </w:r>
      <w:r w:rsidRPr="005A27EB">
        <w:rPr>
          <w:rFonts w:ascii="Times New Roman" w:eastAsia="Times New Roman" w:hAnsi="Times New Roman" w:cs="Times New Roman"/>
          <w:sz w:val="24"/>
          <w:szCs w:val="24"/>
        </w:rPr>
        <w:t>. Source of all money and the nominal intended beneficiary. Abstract labels only, no names (American taxpayers, ratepayers, buyers/renters, tenants)</w:t>
      </w:r>
    </w:p>
    <w:p w14:paraId="496CBBA1"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lastRenderedPageBreak/>
        <w:t>This version of the diagram argues: government is the root of the architecture; companies are the mechanism through which extraction is executed; the people pay and are the nominal justification. The structure is not a civics-textbook hierarchy of accountability — it is a map of where decisions originate, where they are operationalized, and where costs land.</w:t>
      </w:r>
    </w:p>
    <w:p w14:paraId="6B66F59D"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Two Diagrams, Side by Side</w:t>
      </w:r>
    </w:p>
    <w:p w14:paraId="67E977FA" w14:textId="77777777" w:rsidR="005123EE" w:rsidRPr="005A27EB" w:rsidRDefault="005123EE" w:rsidP="005123EE">
      <w:pPr>
        <w:numPr>
          <w:ilvl w:val="0"/>
          <w:numId w:val="3"/>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Left: Exaction vertical tier</w:t>
      </w:r>
    </w:p>
    <w:p w14:paraId="02AC99E6" w14:textId="77777777" w:rsidR="005123EE" w:rsidRPr="005A27EB" w:rsidRDefault="005123EE" w:rsidP="005123EE">
      <w:pPr>
        <w:numPr>
          <w:ilvl w:val="0"/>
          <w:numId w:val="3"/>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Right: Utility vertical tier</w:t>
      </w:r>
    </w:p>
    <w:p w14:paraId="3298CB7F"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Separate tiers per side (not shared base). Each side can be read independently. Forces comparison without forcing identity. Exaction on the left matches the hero image layout (Exaction image on the left).</w:t>
      </w:r>
    </w:p>
    <w:p w14:paraId="2AC390CC"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Arrows Between Tiers</w:t>
      </w:r>
    </w:p>
    <w:p w14:paraId="2B969B6E"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Within each diagram, arrows are split by side of the diagram to aid readability:</w:t>
      </w:r>
    </w:p>
    <w:p w14:paraId="4BD5A314" w14:textId="77777777" w:rsidR="005123EE" w:rsidRPr="005A27EB" w:rsidRDefault="005123EE" w:rsidP="005123EE">
      <w:pPr>
        <w:numPr>
          <w:ilvl w:val="0"/>
          <w:numId w:val="4"/>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Left side of each diagram</w:t>
      </w:r>
      <w:r w:rsidRPr="005A27EB">
        <w:rPr>
          <w:rFonts w:ascii="Times New Roman" w:eastAsia="Times New Roman" w:hAnsi="Times New Roman" w:cs="Times New Roman"/>
          <w:sz w:val="24"/>
          <w:szCs w:val="24"/>
        </w:rPr>
        <w:t xml:space="preserve"> = upward flows (money moving up: taxes, fees, assessments, rates, rent, purchase prices, hidden fees, lobbying)</w:t>
      </w:r>
    </w:p>
    <w:p w14:paraId="5DDE011E" w14:textId="77777777" w:rsidR="005123EE" w:rsidRPr="005A27EB" w:rsidRDefault="005123EE" w:rsidP="005123EE">
      <w:pPr>
        <w:numPr>
          <w:ilvl w:val="0"/>
          <w:numId w:val="4"/>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Right side of each diagram</w:t>
      </w:r>
      <w:r w:rsidRPr="005A27EB">
        <w:rPr>
          <w:rFonts w:ascii="Times New Roman" w:eastAsia="Times New Roman" w:hAnsi="Times New Roman" w:cs="Times New Roman"/>
          <w:sz w:val="24"/>
          <w:szCs w:val="24"/>
        </w:rPr>
        <w:t xml:space="preserve"> = downward flows (authority, permits, rate-of-return authorizations, subsidies, tax credits, Section 8 payments, LIHTC equity, eminent domain grants, liability shields, services)</w:t>
      </w:r>
    </w:p>
    <w:p w14:paraId="28DDC759"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This convention is held consistently across both diagrams (Exaction and Utility).</w:t>
      </w:r>
    </w:p>
    <w:p w14:paraId="5F3566F0"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Arrow types within each diagram:</w:t>
      </w:r>
    </w:p>
    <w:p w14:paraId="1EBAFB94"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i/>
          <w:iCs/>
          <w:sz w:val="24"/>
          <w:szCs w:val="24"/>
        </w:rPr>
        <w:t>Upward flows (dominant):</w:t>
      </w:r>
    </w:p>
    <w:p w14:paraId="06520FF2" w14:textId="77777777" w:rsidR="005123EE" w:rsidRPr="005A27EB" w:rsidRDefault="005123EE" w:rsidP="005123EE">
      <w:pPr>
        <w:numPr>
          <w:ilvl w:val="0"/>
          <w:numId w:val="5"/>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People → Government: taxes (federal income, state, local, property, sales)</w:t>
      </w:r>
    </w:p>
    <w:p w14:paraId="153A6CB7" w14:textId="77777777" w:rsidR="005123EE" w:rsidRPr="005A27EB" w:rsidRDefault="005123EE" w:rsidP="005123EE">
      <w:pPr>
        <w:numPr>
          <w:ilvl w:val="0"/>
          <w:numId w:val="5"/>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People → Companies: rent, utility bills, purchase prices, HOA assessments, hidden/junk fees</w:t>
      </w:r>
    </w:p>
    <w:p w14:paraId="7D696BFD" w14:textId="77777777" w:rsidR="005123EE" w:rsidRPr="005A27EB" w:rsidRDefault="005123EE" w:rsidP="005123EE">
      <w:pPr>
        <w:numPr>
          <w:ilvl w:val="0"/>
          <w:numId w:val="5"/>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Companies → Government: lobbying money, campaign contributions (visually thin — small dollar flow, large policy return)</w:t>
      </w:r>
    </w:p>
    <w:p w14:paraId="5060BC00"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i/>
          <w:iCs/>
          <w:sz w:val="24"/>
          <w:szCs w:val="24"/>
        </w:rPr>
        <w:t>Downward flows:</w:t>
      </w:r>
    </w:p>
    <w:p w14:paraId="2A1925D7" w14:textId="77777777" w:rsidR="005123EE" w:rsidRPr="005A27EB" w:rsidRDefault="005123EE" w:rsidP="005123EE">
      <w:pPr>
        <w:numPr>
          <w:ilvl w:val="0"/>
          <w:numId w:val="6"/>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Government → Companies: subsidies, tax credits, guaranteed rate-of-return, Section 8 payments, LIHTC equity, eminent domain grants, liability shields</w:t>
      </w:r>
    </w:p>
    <w:p w14:paraId="21CD7AC8" w14:textId="77777777" w:rsidR="005123EE" w:rsidRPr="005A27EB" w:rsidRDefault="005123EE" w:rsidP="005123EE">
      <w:pPr>
        <w:numPr>
          <w:ilvl w:val="0"/>
          <w:numId w:val="6"/>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Government → People: ostensible services, regulation</w:t>
      </w:r>
    </w:p>
    <w:p w14:paraId="62EBFDAE" w14:textId="77777777" w:rsidR="005123EE" w:rsidRPr="005A27EB" w:rsidRDefault="005123EE" w:rsidP="005123EE">
      <w:pPr>
        <w:numPr>
          <w:ilvl w:val="0"/>
          <w:numId w:val="6"/>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Companies → People: housing, electricity, product (quality variable)</w:t>
      </w:r>
    </w:p>
    <w:p w14:paraId="126FF0CD"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Arrow Weighting</w:t>
      </w:r>
    </w:p>
    <w:p w14:paraId="6B75B439"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lastRenderedPageBreak/>
        <w:t>Visual weight proportional to dollar flow. Thick arrows for major flows, thin arrows for lobbying. Where line-weight is insufficient to carry the distinction, color can supplement. Multiple arrows between the same two tiers are permitted and encouraged where the data supports them — different flow types get different arrows.</w:t>
      </w:r>
    </w:p>
    <w:p w14:paraId="1D8FE10D"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Arrow Labels and Context Expansion</w:t>
      </w:r>
    </w:p>
    <w:p w14:paraId="33B96A3E"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Arrows carry short labels only (e.g., "LIHTC equity," "Section 8 rent," "</w:t>
      </w:r>
      <w:proofErr w:type="spellStart"/>
      <w:r w:rsidRPr="005A27EB">
        <w:rPr>
          <w:rFonts w:ascii="Times New Roman" w:eastAsia="Times New Roman" w:hAnsi="Times New Roman" w:cs="Times New Roman"/>
          <w:sz w:val="24"/>
          <w:szCs w:val="24"/>
        </w:rPr>
        <w:t>CapEx</w:t>
      </w:r>
      <w:proofErr w:type="spellEnd"/>
      <w:r w:rsidRPr="005A27EB">
        <w:rPr>
          <w:rFonts w:ascii="Times New Roman" w:eastAsia="Times New Roman" w:hAnsi="Times New Roman" w:cs="Times New Roman"/>
          <w:sz w:val="24"/>
          <w:szCs w:val="24"/>
        </w:rPr>
        <w:t xml:space="preserve"> rate-of-return," "HOA assessments," "declarant bulk contracts"). On desktop, hover expands a context box with full detail — mechanism description, dollar magnitudes where known, program names, case citations, source links. On mobile/touch devices, click-to-toggle delivers the same expansion. The short label keeps the diagram readable; the expansion layer carries the evidence.</w:t>
      </w:r>
    </w:p>
    <w:p w14:paraId="6B2DA10A"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 xml:space="preserve">LIHTC + Section 8 double extraction, solar PPA lock-in, HOA declarant control / bulk contracts, D.R. Horton build-quality pattern, Utility </w:t>
      </w:r>
      <w:proofErr w:type="spellStart"/>
      <w:r w:rsidRPr="005A27EB">
        <w:rPr>
          <w:rFonts w:ascii="Times New Roman" w:eastAsia="Times New Roman" w:hAnsi="Times New Roman" w:cs="Times New Roman"/>
          <w:sz w:val="24"/>
          <w:szCs w:val="24"/>
        </w:rPr>
        <w:t>CapEx</w:t>
      </w:r>
      <w:proofErr w:type="spellEnd"/>
      <w:r w:rsidRPr="005A27EB">
        <w:rPr>
          <w:rFonts w:ascii="Times New Roman" w:eastAsia="Times New Roman" w:hAnsi="Times New Roman" w:cs="Times New Roman"/>
          <w:sz w:val="24"/>
          <w:szCs w:val="24"/>
        </w:rPr>
        <w:t>-vs-</w:t>
      </w:r>
      <w:proofErr w:type="spellStart"/>
      <w:r w:rsidRPr="005A27EB">
        <w:rPr>
          <w:rFonts w:ascii="Times New Roman" w:eastAsia="Times New Roman" w:hAnsi="Times New Roman" w:cs="Times New Roman"/>
          <w:sz w:val="24"/>
          <w:szCs w:val="24"/>
        </w:rPr>
        <w:t>OpEx</w:t>
      </w:r>
      <w:proofErr w:type="spellEnd"/>
      <w:r w:rsidRPr="005A27EB">
        <w:rPr>
          <w:rFonts w:ascii="Times New Roman" w:eastAsia="Times New Roman" w:hAnsi="Times New Roman" w:cs="Times New Roman"/>
          <w:sz w:val="24"/>
          <w:szCs w:val="24"/>
        </w:rPr>
        <w:t xml:space="preserve"> asymmetry, and all the other mechanism detail documented in the research document live as arrow expansions — not as separate page sections.</w:t>
      </w:r>
    </w:p>
    <w:p w14:paraId="5087F8A3"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Context Boxes (Evidence Layer)</w:t>
      </w:r>
    </w:p>
    <w:p w14:paraId="0B5A76BC"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 xml:space="preserve">The mechanism layer (tiers, nodes, arrows, labels) and the evidence layer (context boxes, hover/click expansions, source citations) must be visually distinct. Different typography, different color, different weight. Viewer sees the mechanism at a </w:t>
      </w:r>
      <w:proofErr w:type="gramStart"/>
      <w:r w:rsidRPr="005A27EB">
        <w:rPr>
          <w:rFonts w:ascii="Times New Roman" w:eastAsia="Times New Roman" w:hAnsi="Times New Roman" w:cs="Times New Roman"/>
          <w:sz w:val="24"/>
          <w:szCs w:val="24"/>
        </w:rPr>
        <w:t>glance;</w:t>
      </w:r>
      <w:proofErr w:type="gramEnd"/>
      <w:r w:rsidRPr="005A27EB">
        <w:rPr>
          <w:rFonts w:ascii="Times New Roman" w:eastAsia="Times New Roman" w:hAnsi="Times New Roman" w:cs="Times New Roman"/>
          <w:sz w:val="24"/>
          <w:szCs w:val="24"/>
        </w:rPr>
        <w:t xml:space="preserve"> drills into the evidence layer for specifics.</w:t>
      </w:r>
    </w:p>
    <w:p w14:paraId="2889C4E4"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Company Logos</w:t>
      </w:r>
    </w:p>
    <w:p w14:paraId="48533A51"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Placement: middle tier only (Companies).</w:t>
      </w:r>
    </w:p>
    <w:p w14:paraId="3BF106F3" w14:textId="77777777" w:rsidR="005123EE" w:rsidRPr="005A27EB" w:rsidRDefault="005123EE" w:rsidP="005123EE">
      <w:pPr>
        <w:numPr>
          <w:ilvl w:val="0"/>
          <w:numId w:val="7"/>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Grayscale or muted single-color to read as labels, not advertising</w:t>
      </w:r>
    </w:p>
    <w:p w14:paraId="28A463BB" w14:textId="77777777" w:rsidR="005123EE" w:rsidRPr="005A27EB" w:rsidRDefault="005123EE" w:rsidP="005123EE">
      <w:pPr>
        <w:numPr>
          <w:ilvl w:val="0"/>
          <w:numId w:val="7"/>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Consistent sizing across logos</w:t>
      </w:r>
    </w:p>
    <w:p w14:paraId="4592D367" w14:textId="77777777" w:rsidR="005123EE" w:rsidRPr="005A27EB" w:rsidRDefault="005123EE" w:rsidP="005123EE">
      <w:pPr>
        <w:numPr>
          <w:ilvl w:val="0"/>
          <w:numId w:val="7"/>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Recognizable names only</w:t>
      </w:r>
    </w:p>
    <w:p w14:paraId="2CC4E16C" w14:textId="77777777" w:rsidR="005123EE" w:rsidRPr="005A27EB" w:rsidRDefault="005123EE" w:rsidP="005123EE">
      <w:pPr>
        <w:numPr>
          <w:ilvl w:val="0"/>
          <w:numId w:val="7"/>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 xml:space="preserve">Fair use is defensible for academic </w:t>
      </w:r>
      <w:proofErr w:type="gramStart"/>
      <w:r w:rsidRPr="005A27EB">
        <w:rPr>
          <w:rFonts w:ascii="Times New Roman" w:eastAsia="Times New Roman" w:hAnsi="Times New Roman" w:cs="Times New Roman"/>
          <w:sz w:val="24"/>
          <w:szCs w:val="24"/>
        </w:rPr>
        <w:t>commentary;</w:t>
      </w:r>
      <w:proofErr w:type="gramEnd"/>
      <w:r w:rsidRPr="005A27EB">
        <w:rPr>
          <w:rFonts w:ascii="Times New Roman" w:eastAsia="Times New Roman" w:hAnsi="Times New Roman" w:cs="Times New Roman"/>
          <w:sz w:val="24"/>
          <w:szCs w:val="24"/>
        </w:rPr>
        <w:t xml:space="preserve"> not a blocker</w:t>
      </w:r>
    </w:p>
    <w:p w14:paraId="1808BF42"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i/>
          <w:iCs/>
          <w:sz w:val="24"/>
          <w:szCs w:val="24"/>
        </w:rPr>
        <w:t>Exaction side / housing:</w:t>
      </w:r>
      <w:r w:rsidRPr="005A27EB">
        <w:rPr>
          <w:rFonts w:ascii="Times New Roman" w:eastAsia="Times New Roman" w:hAnsi="Times New Roman" w:cs="Times New Roman"/>
          <w:sz w:val="24"/>
          <w:szCs w:val="24"/>
        </w:rPr>
        <w:t xml:space="preserve"> Greystar, Lennar, D.R. Horton, Alliance Residential, Mill Creek Residential. Secondary if space allows: Pulte, KB Home, Meritage.</w:t>
      </w:r>
    </w:p>
    <w:p w14:paraId="229E0458"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i/>
          <w:iCs/>
          <w:sz w:val="24"/>
          <w:szCs w:val="24"/>
        </w:rPr>
        <w:t>Utility side:</w:t>
      </w:r>
      <w:r w:rsidRPr="005A27EB">
        <w:rPr>
          <w:rFonts w:ascii="Times New Roman" w:eastAsia="Times New Roman" w:hAnsi="Times New Roman" w:cs="Times New Roman"/>
          <w:sz w:val="24"/>
          <w:szCs w:val="24"/>
        </w:rPr>
        <w:t xml:space="preserve"> PG&amp;E, Duke Energy, Southern Company, Con Edison, ComEd/Exelon.</w:t>
      </w:r>
    </w:p>
    <w:p w14:paraId="231974BE"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Do not import BlackRock/Vanguard/State Street connective tissue from the visa project. This is a separate module with a separate argument.</w:t>
      </w:r>
    </w:p>
    <w:p w14:paraId="22A06F86"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Hero Images</w:t>
      </w:r>
    </w:p>
    <w:p w14:paraId="7FE31AA1"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 xml:space="preserve">Two Adobe Stock photos in </w:t>
      </w:r>
      <w:r w:rsidRPr="005A27EB">
        <w:rPr>
          <w:rFonts w:ascii="Courier New" w:eastAsia="Times New Roman" w:hAnsi="Courier New" w:cs="Courier New"/>
          <w:sz w:val="20"/>
          <w:szCs w:val="20"/>
        </w:rPr>
        <w:t>professor-bray/reference/</w:t>
      </w:r>
      <w:r w:rsidRPr="005A27EB">
        <w:rPr>
          <w:rFonts w:ascii="Times New Roman" w:eastAsia="Times New Roman" w:hAnsi="Times New Roman" w:cs="Times New Roman"/>
          <w:sz w:val="24"/>
          <w:szCs w:val="24"/>
        </w:rPr>
        <w:t>:</w:t>
      </w:r>
    </w:p>
    <w:p w14:paraId="4681801C" w14:textId="77777777" w:rsidR="005123EE" w:rsidRPr="005A27EB" w:rsidRDefault="005123EE" w:rsidP="005123EE">
      <w:pPr>
        <w:numPr>
          <w:ilvl w:val="0"/>
          <w:numId w:val="8"/>
        </w:numPr>
        <w:spacing w:before="100" w:beforeAutospacing="1" w:after="100" w:afterAutospacing="1"/>
        <w:rPr>
          <w:rFonts w:ascii="Times New Roman" w:eastAsia="Times New Roman" w:hAnsi="Times New Roman" w:cs="Times New Roman"/>
          <w:sz w:val="24"/>
          <w:szCs w:val="24"/>
        </w:rPr>
      </w:pPr>
      <w:r w:rsidRPr="005A27EB">
        <w:rPr>
          <w:rFonts w:ascii="Courier New" w:eastAsia="Times New Roman" w:hAnsi="Courier New" w:cs="Courier New"/>
          <w:sz w:val="20"/>
          <w:szCs w:val="20"/>
        </w:rPr>
        <w:lastRenderedPageBreak/>
        <w:t>Exaction.jpeg</w:t>
      </w:r>
      <w:r w:rsidRPr="005A27EB">
        <w:rPr>
          <w:rFonts w:ascii="Times New Roman" w:eastAsia="Times New Roman" w:hAnsi="Times New Roman" w:cs="Times New Roman"/>
          <w:sz w:val="24"/>
          <w:szCs w:val="24"/>
        </w:rPr>
        <w:t xml:space="preserve"> / </w:t>
      </w:r>
      <w:r w:rsidRPr="005A27EB">
        <w:rPr>
          <w:rFonts w:ascii="Courier New" w:eastAsia="Times New Roman" w:hAnsi="Courier New" w:cs="Courier New"/>
          <w:sz w:val="20"/>
          <w:szCs w:val="20"/>
        </w:rPr>
        <w:t>Exaction-web.jpeg</w:t>
      </w:r>
      <w:r w:rsidRPr="005A27EB">
        <w:rPr>
          <w:rFonts w:ascii="Times New Roman" w:eastAsia="Times New Roman" w:hAnsi="Times New Roman" w:cs="Times New Roman"/>
          <w:sz w:val="24"/>
          <w:szCs w:val="24"/>
        </w:rPr>
        <w:t>: North Port FL multifamily construction (</w:t>
      </w:r>
      <w:proofErr w:type="spellStart"/>
      <w:r w:rsidRPr="005A27EB">
        <w:rPr>
          <w:rFonts w:ascii="Times New Roman" w:eastAsia="Times New Roman" w:hAnsi="Times New Roman" w:cs="Times New Roman"/>
          <w:sz w:val="24"/>
          <w:szCs w:val="24"/>
        </w:rPr>
        <w:t>bilanol</w:t>
      </w:r>
      <w:proofErr w:type="spellEnd"/>
      <w:r w:rsidRPr="005A27EB">
        <w:rPr>
          <w:rFonts w:ascii="Times New Roman" w:eastAsia="Times New Roman" w:hAnsi="Times New Roman" w:cs="Times New Roman"/>
          <w:sz w:val="24"/>
          <w:szCs w:val="24"/>
        </w:rPr>
        <w:t>)</w:t>
      </w:r>
    </w:p>
    <w:p w14:paraId="711C821E" w14:textId="77777777" w:rsidR="005123EE" w:rsidRPr="005A27EB" w:rsidRDefault="005123EE" w:rsidP="005123EE">
      <w:pPr>
        <w:numPr>
          <w:ilvl w:val="0"/>
          <w:numId w:val="8"/>
        </w:numPr>
        <w:spacing w:before="100" w:beforeAutospacing="1" w:after="100" w:afterAutospacing="1"/>
        <w:rPr>
          <w:rFonts w:ascii="Times New Roman" w:eastAsia="Times New Roman" w:hAnsi="Times New Roman" w:cs="Times New Roman"/>
          <w:sz w:val="24"/>
          <w:szCs w:val="24"/>
        </w:rPr>
      </w:pPr>
      <w:r w:rsidRPr="005A27EB">
        <w:rPr>
          <w:rFonts w:ascii="Courier New" w:eastAsia="Times New Roman" w:hAnsi="Courier New" w:cs="Courier New"/>
          <w:sz w:val="20"/>
          <w:szCs w:val="20"/>
        </w:rPr>
        <w:t>Utility.jpeg</w:t>
      </w:r>
      <w:r w:rsidRPr="005A27EB">
        <w:rPr>
          <w:rFonts w:ascii="Times New Roman" w:eastAsia="Times New Roman" w:hAnsi="Times New Roman" w:cs="Times New Roman"/>
          <w:sz w:val="24"/>
          <w:szCs w:val="24"/>
        </w:rPr>
        <w:t xml:space="preserve"> / </w:t>
      </w:r>
      <w:r w:rsidRPr="005A27EB">
        <w:rPr>
          <w:rFonts w:ascii="Courier New" w:eastAsia="Times New Roman" w:hAnsi="Courier New" w:cs="Courier New"/>
          <w:sz w:val="20"/>
          <w:szCs w:val="20"/>
        </w:rPr>
        <w:t>Utility-web.jpeg</w:t>
      </w:r>
      <w:r w:rsidRPr="005A27EB">
        <w:rPr>
          <w:rFonts w:ascii="Times New Roman" w:eastAsia="Times New Roman" w:hAnsi="Times New Roman" w:cs="Times New Roman"/>
          <w:sz w:val="24"/>
          <w:szCs w:val="24"/>
        </w:rPr>
        <w:t>: John Day Dam transmission/powerhouse on the Columbia River (</w:t>
      </w:r>
      <w:proofErr w:type="spellStart"/>
      <w:r w:rsidRPr="005A27EB">
        <w:rPr>
          <w:rFonts w:ascii="Times New Roman" w:eastAsia="Times New Roman" w:hAnsi="Times New Roman" w:cs="Times New Roman"/>
          <w:sz w:val="24"/>
          <w:szCs w:val="24"/>
        </w:rPr>
        <w:t>davidrh</w:t>
      </w:r>
      <w:proofErr w:type="spellEnd"/>
      <w:r w:rsidRPr="005A27EB">
        <w:rPr>
          <w:rFonts w:ascii="Times New Roman" w:eastAsia="Times New Roman" w:hAnsi="Times New Roman" w:cs="Times New Roman"/>
          <w:sz w:val="24"/>
          <w:szCs w:val="24"/>
        </w:rPr>
        <w:t>)</w:t>
      </w:r>
    </w:p>
    <w:p w14:paraId="6DB8B1D5"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Web-optimized versions (2400px long edge) used in the live page; originals preserved as source.</w:t>
      </w:r>
    </w:p>
    <w:p w14:paraId="618B18A9"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Split hero: Exaction left, Utility right. 20% dark overlay on both images to balance brightness and support text overlay legibility. Hero ends at a hard edge before the Bray statement panel begins.</w:t>
      </w:r>
    </w:p>
    <w:p w14:paraId="303DF4F8"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Color Palette</w:t>
      </w:r>
    </w:p>
    <w:p w14:paraId="53EBA54F"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Defined in CSS custom properties at the top of the module's stylesheet:</w:t>
      </w:r>
    </w:p>
    <w:p w14:paraId="1231B207" w14:textId="77777777" w:rsidR="005123EE" w:rsidRPr="005A27EB" w:rsidRDefault="005123EE" w:rsidP="005123EE">
      <w:pPr>
        <w:numPr>
          <w:ilvl w:val="0"/>
          <w:numId w:val="9"/>
        </w:numPr>
        <w:spacing w:before="100" w:beforeAutospacing="1" w:after="100" w:afterAutospacing="1"/>
        <w:rPr>
          <w:rFonts w:ascii="Times New Roman" w:eastAsia="Times New Roman" w:hAnsi="Times New Roman" w:cs="Times New Roman"/>
          <w:sz w:val="24"/>
          <w:szCs w:val="24"/>
        </w:rPr>
      </w:pPr>
      <w:r w:rsidRPr="005A27EB">
        <w:rPr>
          <w:rFonts w:ascii="Courier New" w:eastAsia="Times New Roman" w:hAnsi="Courier New" w:cs="Courier New"/>
          <w:sz w:val="20"/>
          <w:szCs w:val="20"/>
        </w:rPr>
        <w:t>--</w:t>
      </w:r>
      <w:proofErr w:type="spellStart"/>
      <w:r w:rsidRPr="005A27EB">
        <w:rPr>
          <w:rFonts w:ascii="Courier New" w:eastAsia="Times New Roman" w:hAnsi="Courier New" w:cs="Courier New"/>
          <w:sz w:val="20"/>
          <w:szCs w:val="20"/>
        </w:rPr>
        <w:t>bg</w:t>
      </w:r>
      <w:proofErr w:type="spellEnd"/>
      <w:r w:rsidRPr="005A27EB">
        <w:rPr>
          <w:rFonts w:ascii="Courier New" w:eastAsia="Times New Roman" w:hAnsi="Courier New" w:cs="Courier New"/>
          <w:sz w:val="20"/>
          <w:szCs w:val="20"/>
        </w:rPr>
        <w:t>-page: #1F1F26</w:t>
      </w:r>
      <w:r w:rsidRPr="005A27EB">
        <w:rPr>
          <w:rFonts w:ascii="Times New Roman" w:eastAsia="Times New Roman" w:hAnsi="Times New Roman" w:cs="Times New Roman"/>
          <w:sz w:val="24"/>
          <w:szCs w:val="24"/>
        </w:rPr>
        <w:t xml:space="preserve"> — page background</w:t>
      </w:r>
    </w:p>
    <w:p w14:paraId="1787605B" w14:textId="77777777" w:rsidR="005123EE" w:rsidRPr="005A27EB" w:rsidRDefault="005123EE" w:rsidP="005123EE">
      <w:pPr>
        <w:numPr>
          <w:ilvl w:val="0"/>
          <w:numId w:val="9"/>
        </w:numPr>
        <w:spacing w:before="100" w:beforeAutospacing="1" w:after="100" w:afterAutospacing="1"/>
        <w:rPr>
          <w:rFonts w:ascii="Times New Roman" w:eastAsia="Times New Roman" w:hAnsi="Times New Roman" w:cs="Times New Roman"/>
          <w:sz w:val="24"/>
          <w:szCs w:val="24"/>
        </w:rPr>
      </w:pPr>
      <w:r w:rsidRPr="005A27EB">
        <w:rPr>
          <w:rFonts w:ascii="Courier New" w:eastAsia="Times New Roman" w:hAnsi="Courier New" w:cs="Courier New"/>
          <w:sz w:val="20"/>
          <w:szCs w:val="20"/>
        </w:rPr>
        <w:t>--</w:t>
      </w:r>
      <w:proofErr w:type="spellStart"/>
      <w:r w:rsidRPr="005A27EB">
        <w:rPr>
          <w:rFonts w:ascii="Courier New" w:eastAsia="Times New Roman" w:hAnsi="Courier New" w:cs="Courier New"/>
          <w:sz w:val="20"/>
          <w:szCs w:val="20"/>
        </w:rPr>
        <w:t>bg</w:t>
      </w:r>
      <w:proofErr w:type="spellEnd"/>
      <w:r w:rsidRPr="005A27EB">
        <w:rPr>
          <w:rFonts w:ascii="Courier New" w:eastAsia="Times New Roman" w:hAnsi="Courier New" w:cs="Courier New"/>
          <w:sz w:val="20"/>
          <w:szCs w:val="20"/>
        </w:rPr>
        <w:t>-panel: #2A2A32</w:t>
      </w:r>
      <w:r w:rsidRPr="005A27EB">
        <w:rPr>
          <w:rFonts w:ascii="Times New Roman" w:eastAsia="Times New Roman" w:hAnsi="Times New Roman" w:cs="Times New Roman"/>
          <w:sz w:val="24"/>
          <w:szCs w:val="24"/>
        </w:rPr>
        <w:t xml:space="preserve"> — panel interior fill</w:t>
      </w:r>
    </w:p>
    <w:p w14:paraId="3F88442C" w14:textId="77777777" w:rsidR="005123EE" w:rsidRPr="005A27EB" w:rsidRDefault="005123EE" w:rsidP="005123EE">
      <w:pPr>
        <w:numPr>
          <w:ilvl w:val="0"/>
          <w:numId w:val="9"/>
        </w:numPr>
        <w:spacing w:before="100" w:beforeAutospacing="1" w:after="100" w:afterAutospacing="1"/>
        <w:rPr>
          <w:rFonts w:ascii="Times New Roman" w:eastAsia="Times New Roman" w:hAnsi="Times New Roman" w:cs="Times New Roman"/>
          <w:sz w:val="24"/>
          <w:szCs w:val="24"/>
        </w:rPr>
      </w:pPr>
      <w:r w:rsidRPr="005A27EB">
        <w:rPr>
          <w:rFonts w:ascii="Courier New" w:eastAsia="Times New Roman" w:hAnsi="Courier New" w:cs="Courier New"/>
          <w:sz w:val="20"/>
          <w:szCs w:val="20"/>
        </w:rPr>
        <w:t>--border-scaffold: #555560</w:t>
      </w:r>
      <w:r w:rsidRPr="005A27EB">
        <w:rPr>
          <w:rFonts w:ascii="Times New Roman" w:eastAsia="Times New Roman" w:hAnsi="Times New Roman" w:cs="Times New Roman"/>
          <w:sz w:val="24"/>
          <w:szCs w:val="24"/>
        </w:rPr>
        <w:t xml:space="preserve"> — temporary scaffolding borders during build, removed before launch</w:t>
      </w:r>
    </w:p>
    <w:p w14:paraId="69AC1FE7" w14:textId="77777777" w:rsidR="005123EE" w:rsidRPr="005A27EB" w:rsidRDefault="005123EE" w:rsidP="005123EE">
      <w:pPr>
        <w:numPr>
          <w:ilvl w:val="0"/>
          <w:numId w:val="9"/>
        </w:numPr>
        <w:spacing w:before="100" w:beforeAutospacing="1" w:after="100" w:afterAutospacing="1"/>
        <w:rPr>
          <w:rFonts w:ascii="Times New Roman" w:eastAsia="Times New Roman" w:hAnsi="Times New Roman" w:cs="Times New Roman"/>
          <w:sz w:val="24"/>
          <w:szCs w:val="24"/>
        </w:rPr>
      </w:pPr>
      <w:r w:rsidRPr="005A27EB">
        <w:rPr>
          <w:rFonts w:ascii="Courier New" w:eastAsia="Times New Roman" w:hAnsi="Courier New" w:cs="Courier New"/>
          <w:sz w:val="20"/>
          <w:szCs w:val="20"/>
        </w:rPr>
        <w:t>--text-body: #F0EBE0</w:t>
      </w:r>
      <w:r w:rsidRPr="005A27EB">
        <w:rPr>
          <w:rFonts w:ascii="Times New Roman" w:eastAsia="Times New Roman" w:hAnsi="Times New Roman" w:cs="Times New Roman"/>
          <w:sz w:val="24"/>
          <w:szCs w:val="24"/>
        </w:rPr>
        <w:t xml:space="preserve"> — body text</w:t>
      </w:r>
    </w:p>
    <w:p w14:paraId="0B50CB8B" w14:textId="77777777" w:rsidR="005123EE" w:rsidRPr="005A27EB" w:rsidRDefault="005123EE" w:rsidP="005123EE">
      <w:pPr>
        <w:numPr>
          <w:ilvl w:val="0"/>
          <w:numId w:val="9"/>
        </w:numPr>
        <w:spacing w:before="100" w:beforeAutospacing="1" w:after="100" w:afterAutospacing="1"/>
        <w:rPr>
          <w:rFonts w:ascii="Times New Roman" w:eastAsia="Times New Roman" w:hAnsi="Times New Roman" w:cs="Times New Roman"/>
          <w:sz w:val="24"/>
          <w:szCs w:val="24"/>
        </w:rPr>
      </w:pPr>
      <w:r w:rsidRPr="005A27EB">
        <w:rPr>
          <w:rFonts w:ascii="Courier New" w:eastAsia="Times New Roman" w:hAnsi="Courier New" w:cs="Courier New"/>
          <w:sz w:val="20"/>
          <w:szCs w:val="20"/>
        </w:rPr>
        <w:t>--text-muted: #A09A8E</w:t>
      </w:r>
      <w:r w:rsidRPr="005A27EB">
        <w:rPr>
          <w:rFonts w:ascii="Times New Roman" w:eastAsia="Times New Roman" w:hAnsi="Times New Roman" w:cs="Times New Roman"/>
          <w:sz w:val="24"/>
          <w:szCs w:val="24"/>
        </w:rPr>
        <w:t xml:space="preserve"> — secondary text</w:t>
      </w:r>
    </w:p>
    <w:p w14:paraId="359D592E" w14:textId="77777777" w:rsidR="005123EE" w:rsidRPr="005A27EB" w:rsidRDefault="005123EE" w:rsidP="005123EE">
      <w:pPr>
        <w:numPr>
          <w:ilvl w:val="0"/>
          <w:numId w:val="9"/>
        </w:numPr>
        <w:spacing w:before="100" w:beforeAutospacing="1" w:after="100" w:afterAutospacing="1"/>
        <w:rPr>
          <w:rFonts w:ascii="Times New Roman" w:eastAsia="Times New Roman" w:hAnsi="Times New Roman" w:cs="Times New Roman"/>
          <w:sz w:val="24"/>
          <w:szCs w:val="24"/>
        </w:rPr>
      </w:pPr>
      <w:r w:rsidRPr="005A27EB">
        <w:rPr>
          <w:rFonts w:ascii="Courier New" w:eastAsia="Times New Roman" w:hAnsi="Courier New" w:cs="Courier New"/>
          <w:sz w:val="20"/>
          <w:szCs w:val="20"/>
        </w:rPr>
        <w:t>--accent-exaction: #C4A56E</w:t>
      </w:r>
      <w:r w:rsidRPr="005A27EB">
        <w:rPr>
          <w:rFonts w:ascii="Times New Roman" w:eastAsia="Times New Roman" w:hAnsi="Times New Roman" w:cs="Times New Roman"/>
          <w:sz w:val="24"/>
          <w:szCs w:val="24"/>
        </w:rPr>
        <w:t xml:space="preserve"> — warm ochre, pulled from Exaction image lumber tones</w:t>
      </w:r>
    </w:p>
    <w:p w14:paraId="707310B3" w14:textId="77777777" w:rsidR="005123EE" w:rsidRPr="005A27EB" w:rsidRDefault="005123EE" w:rsidP="005123EE">
      <w:pPr>
        <w:numPr>
          <w:ilvl w:val="0"/>
          <w:numId w:val="9"/>
        </w:numPr>
        <w:spacing w:before="100" w:beforeAutospacing="1" w:after="100" w:afterAutospacing="1"/>
        <w:rPr>
          <w:rFonts w:ascii="Times New Roman" w:eastAsia="Times New Roman" w:hAnsi="Times New Roman" w:cs="Times New Roman"/>
          <w:sz w:val="24"/>
          <w:szCs w:val="24"/>
        </w:rPr>
      </w:pPr>
      <w:r w:rsidRPr="005A27EB">
        <w:rPr>
          <w:rFonts w:ascii="Courier New" w:eastAsia="Times New Roman" w:hAnsi="Courier New" w:cs="Courier New"/>
          <w:sz w:val="20"/>
          <w:szCs w:val="20"/>
        </w:rPr>
        <w:t>--accent-utility: #4A6B7C</w:t>
      </w:r>
      <w:r w:rsidRPr="005A27EB">
        <w:rPr>
          <w:rFonts w:ascii="Times New Roman" w:eastAsia="Times New Roman" w:hAnsi="Times New Roman" w:cs="Times New Roman"/>
          <w:sz w:val="24"/>
          <w:szCs w:val="24"/>
        </w:rPr>
        <w:t xml:space="preserve"> — steel blue, pulled from Utility image infrastructure</w:t>
      </w:r>
    </w:p>
    <w:p w14:paraId="09549ED0" w14:textId="77777777" w:rsidR="005123EE" w:rsidRPr="005A27EB" w:rsidRDefault="005123EE" w:rsidP="005123EE">
      <w:pPr>
        <w:numPr>
          <w:ilvl w:val="0"/>
          <w:numId w:val="9"/>
        </w:numPr>
        <w:spacing w:before="100" w:beforeAutospacing="1" w:after="100" w:afterAutospacing="1"/>
        <w:rPr>
          <w:rFonts w:ascii="Times New Roman" w:eastAsia="Times New Roman" w:hAnsi="Times New Roman" w:cs="Times New Roman"/>
          <w:sz w:val="24"/>
          <w:szCs w:val="24"/>
        </w:rPr>
      </w:pPr>
      <w:r w:rsidRPr="005A27EB">
        <w:rPr>
          <w:rFonts w:ascii="Courier New" w:eastAsia="Times New Roman" w:hAnsi="Courier New" w:cs="Courier New"/>
          <w:sz w:val="20"/>
          <w:szCs w:val="20"/>
        </w:rPr>
        <w:t>--flag-hypothesis: #B8954A</w:t>
      </w:r>
      <w:r w:rsidRPr="005A27EB">
        <w:rPr>
          <w:rFonts w:ascii="Times New Roman" w:eastAsia="Times New Roman" w:hAnsi="Times New Roman" w:cs="Times New Roman"/>
          <w:sz w:val="24"/>
          <w:szCs w:val="24"/>
        </w:rPr>
        <w:t xml:space="preserve"> — muted gold, marks working-hypothesis language</w:t>
      </w:r>
    </w:p>
    <w:p w14:paraId="0E5D47BD" w14:textId="77777777" w:rsidR="005123EE" w:rsidRPr="005A27EB" w:rsidRDefault="005123EE" w:rsidP="005123EE">
      <w:pPr>
        <w:numPr>
          <w:ilvl w:val="0"/>
          <w:numId w:val="9"/>
        </w:numPr>
        <w:spacing w:before="100" w:beforeAutospacing="1" w:after="100" w:afterAutospacing="1"/>
        <w:rPr>
          <w:rFonts w:ascii="Times New Roman" w:eastAsia="Times New Roman" w:hAnsi="Times New Roman" w:cs="Times New Roman"/>
          <w:sz w:val="24"/>
          <w:szCs w:val="24"/>
        </w:rPr>
      </w:pPr>
      <w:r w:rsidRPr="005A27EB">
        <w:rPr>
          <w:rFonts w:ascii="Courier New" w:eastAsia="Times New Roman" w:hAnsi="Courier New" w:cs="Courier New"/>
          <w:sz w:val="20"/>
          <w:szCs w:val="20"/>
        </w:rPr>
        <w:t>--flag-research: #8B4A3C</w:t>
      </w:r>
      <w:r w:rsidRPr="005A27EB">
        <w:rPr>
          <w:rFonts w:ascii="Times New Roman" w:eastAsia="Times New Roman" w:hAnsi="Times New Roman" w:cs="Times New Roman"/>
          <w:sz w:val="24"/>
          <w:szCs w:val="24"/>
        </w:rPr>
        <w:t xml:space="preserve"> — muted rust, marks "needs research" items</w:t>
      </w:r>
    </w:p>
    <w:p w14:paraId="2B95DDA7" w14:textId="77777777" w:rsidR="005123EE" w:rsidRPr="005A27EB" w:rsidRDefault="005123EE" w:rsidP="005123EE">
      <w:pPr>
        <w:numPr>
          <w:ilvl w:val="0"/>
          <w:numId w:val="9"/>
        </w:numPr>
        <w:spacing w:before="100" w:beforeAutospacing="1" w:after="100" w:afterAutospacing="1"/>
        <w:rPr>
          <w:rFonts w:ascii="Times New Roman" w:eastAsia="Times New Roman" w:hAnsi="Times New Roman" w:cs="Times New Roman"/>
          <w:sz w:val="24"/>
          <w:szCs w:val="24"/>
        </w:rPr>
      </w:pPr>
      <w:r w:rsidRPr="005A27EB">
        <w:rPr>
          <w:rFonts w:ascii="Courier New" w:eastAsia="Times New Roman" w:hAnsi="Courier New" w:cs="Courier New"/>
          <w:sz w:val="20"/>
          <w:szCs w:val="20"/>
        </w:rPr>
        <w:t xml:space="preserve">--hero-overlay: </w:t>
      </w:r>
      <w:proofErr w:type="spellStart"/>
      <w:proofErr w:type="gramStart"/>
      <w:r w:rsidRPr="005A27EB">
        <w:rPr>
          <w:rFonts w:ascii="Courier New" w:eastAsia="Times New Roman" w:hAnsi="Courier New" w:cs="Courier New"/>
          <w:sz w:val="20"/>
          <w:szCs w:val="20"/>
        </w:rPr>
        <w:t>rgba</w:t>
      </w:r>
      <w:proofErr w:type="spellEnd"/>
      <w:r w:rsidRPr="005A27EB">
        <w:rPr>
          <w:rFonts w:ascii="Courier New" w:eastAsia="Times New Roman" w:hAnsi="Courier New" w:cs="Courier New"/>
          <w:sz w:val="20"/>
          <w:szCs w:val="20"/>
        </w:rPr>
        <w:t>(</w:t>
      </w:r>
      <w:proofErr w:type="gramEnd"/>
      <w:r w:rsidRPr="005A27EB">
        <w:rPr>
          <w:rFonts w:ascii="Courier New" w:eastAsia="Times New Roman" w:hAnsi="Courier New" w:cs="Courier New"/>
          <w:sz w:val="20"/>
          <w:szCs w:val="20"/>
        </w:rPr>
        <w:t>0, 0, 0, 0.20)</w:t>
      </w:r>
      <w:r w:rsidRPr="005A27EB">
        <w:rPr>
          <w:rFonts w:ascii="Times New Roman" w:eastAsia="Times New Roman" w:hAnsi="Times New Roman" w:cs="Times New Roman"/>
          <w:sz w:val="24"/>
          <w:szCs w:val="24"/>
        </w:rPr>
        <w:t xml:space="preserve"> — hero image overlay</w:t>
      </w:r>
    </w:p>
    <w:p w14:paraId="2F6507CA"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Working Hypothesis and Needs Research Flags</w:t>
      </w:r>
    </w:p>
    <w:p w14:paraId="51E8AC18"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 xml:space="preserve">Working hypotheses throughout the page are visually flagged with </w:t>
      </w:r>
      <w:r w:rsidRPr="005A27EB">
        <w:rPr>
          <w:rFonts w:ascii="Courier New" w:eastAsia="Times New Roman" w:hAnsi="Courier New" w:cs="Courier New"/>
          <w:sz w:val="20"/>
          <w:szCs w:val="20"/>
        </w:rPr>
        <w:t>--flag-hypothesis</w:t>
      </w:r>
      <w:r w:rsidRPr="005A27EB">
        <w:rPr>
          <w:rFonts w:ascii="Times New Roman" w:eastAsia="Times New Roman" w:hAnsi="Times New Roman" w:cs="Times New Roman"/>
          <w:sz w:val="24"/>
          <w:szCs w:val="24"/>
        </w:rPr>
        <w:t xml:space="preserve"> treatment (color marker, italic, or labeled tag — held consistent across panels). Provisional language is preserved, not smoothed into declarative claims.</w:t>
      </w:r>
    </w:p>
    <w:p w14:paraId="661EFB25"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 xml:space="preserve">Items flagged as needing further research (e.g., utilities using Contributions in Aid of Construction / line extension agreements / rate base of contributed assets to capture developer exaction spending) are visually flagged with </w:t>
      </w:r>
      <w:r w:rsidRPr="005A27EB">
        <w:rPr>
          <w:rFonts w:ascii="Courier New" w:eastAsia="Times New Roman" w:hAnsi="Courier New" w:cs="Courier New"/>
          <w:sz w:val="20"/>
          <w:szCs w:val="20"/>
        </w:rPr>
        <w:t>--flag-research</w:t>
      </w:r>
      <w:r w:rsidRPr="005A27EB">
        <w:rPr>
          <w:rFonts w:ascii="Times New Roman" w:eastAsia="Times New Roman" w:hAnsi="Times New Roman" w:cs="Times New Roman"/>
          <w:sz w:val="24"/>
          <w:szCs w:val="24"/>
        </w:rPr>
        <w:t xml:space="preserve"> treatment and appear at the appropriate panel (likely the Jurisdictional Fragmentation panel for the CIAC question).</w:t>
      </w:r>
    </w:p>
    <w:p w14:paraId="4D959FE5"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Language Register</w:t>
      </w:r>
    </w:p>
    <w:p w14:paraId="0023EBC9" w14:textId="77777777" w:rsidR="005123EE" w:rsidRPr="005A27EB" w:rsidRDefault="005123EE" w:rsidP="005123EE">
      <w:pPr>
        <w:numPr>
          <w:ilvl w:val="0"/>
          <w:numId w:val="10"/>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Factual, structural, understated. Not polemical. Not conspiratorial.</w:t>
      </w:r>
    </w:p>
    <w:p w14:paraId="7D193E74" w14:textId="77777777" w:rsidR="005123EE" w:rsidRPr="005A27EB" w:rsidRDefault="005123EE" w:rsidP="005123EE">
      <w:pPr>
        <w:numPr>
          <w:ilvl w:val="0"/>
          <w:numId w:val="10"/>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"Cumulative design" or "deliberate decisions accumulating into an emergent system" — not "government-architected" or "policy drift" or "grand scheme"</w:t>
      </w:r>
    </w:p>
    <w:p w14:paraId="4C7DF070" w14:textId="77777777" w:rsidR="005123EE" w:rsidRPr="005A27EB" w:rsidRDefault="005123EE" w:rsidP="005123EE">
      <w:pPr>
        <w:numPr>
          <w:ilvl w:val="0"/>
          <w:numId w:val="10"/>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Individual decisions are intentional; the aggregate pattern emerges from accumulation, not from central design</w:t>
      </w:r>
    </w:p>
    <w:p w14:paraId="167DC9FD" w14:textId="77777777" w:rsidR="005123EE" w:rsidRPr="005A27EB" w:rsidRDefault="005123EE" w:rsidP="005123EE">
      <w:pPr>
        <w:numPr>
          <w:ilvl w:val="0"/>
          <w:numId w:val="10"/>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Working hypotheses stay labeled as working hypotheses throughout the final output</w:t>
      </w:r>
    </w:p>
    <w:p w14:paraId="72BAA575"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lastRenderedPageBreak/>
        <w:t>Parallel Framing Rule</w:t>
      </w:r>
    </w:p>
    <w:p w14:paraId="7D6A5C55"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 xml:space="preserve">The parallel between exactions and utility rate-of-return regulation is </w:t>
      </w:r>
      <w:r w:rsidRPr="005A27EB">
        <w:rPr>
          <w:rFonts w:ascii="Times New Roman" w:eastAsia="Times New Roman" w:hAnsi="Times New Roman" w:cs="Times New Roman"/>
          <w:b/>
          <w:bCs/>
          <w:sz w:val="24"/>
          <w:szCs w:val="24"/>
        </w:rPr>
        <w:t>structural</w:t>
      </w:r>
      <w:r w:rsidRPr="005A27EB">
        <w:rPr>
          <w:rFonts w:ascii="Times New Roman" w:eastAsia="Times New Roman" w:hAnsi="Times New Roman" w:cs="Times New Roman"/>
          <w:sz w:val="24"/>
          <w:szCs w:val="24"/>
        </w:rPr>
        <w:t>, not identity. Do not force equivalence where the data does not support it. Name breaks in the parallel as well as similarities. The AI reader note at the top of the research document applies to the website output as well.</w:t>
      </w:r>
    </w:p>
    <w:p w14:paraId="74651932"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Tone</w:t>
      </w:r>
    </w:p>
    <w:p w14:paraId="658477CA"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Factual, structural, understated. Evidence does the arguing. The page is a mental model testing artifact for adversarial examination by a property law professor, not a persuasion tool and not a finished paper. Working hypotheses are invitations to pushback, not claims.</w:t>
      </w:r>
    </w:p>
    <w:p w14:paraId="25F47E7D"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Jurisdictional Fragmentation Panel</w:t>
      </w:r>
    </w:p>
    <w:p w14:paraId="2FA54FC9"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Full-width panel below the diagram and above the split law school panels. Visually distinct from mechanism diagrams and from law school panels — muted background, bordered, signals an observation layer rather than part of the mechanism map or the professional-pipeline discussion.</w:t>
      </w:r>
    </w:p>
    <w:p w14:paraId="73F2ABB5"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Content: the extraction mechanism spans three separate legal regimes (constitutional takings doctrine in Article III federal courts; tax treatment in Article I Tax Court and IRS administrative proceedings; property/HOA law in state courts and sometimes Article II administrative bodies). No single court or agency has jurisdiction over the whole pattern. The fragmentation itself appears to shield the mechanism from unified scrutiny. Flagged as working observation, not fully researched.</w:t>
      </w:r>
    </w:p>
    <w:p w14:paraId="3FB228DA"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Split Law School Panels</w:t>
      </w:r>
    </w:p>
    <w:p w14:paraId="30D614D4"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Two side-by-side panels below the Jurisdictional Fragmentation panel.</w:t>
      </w:r>
    </w:p>
    <w:p w14:paraId="1FE9D67E"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i/>
          <w:iCs/>
          <w:sz w:val="24"/>
          <w:szCs w:val="24"/>
        </w:rPr>
        <w:t>Left — Exaction side:</w:t>
      </w:r>
      <w:r w:rsidRPr="005A27EB">
        <w:rPr>
          <w:rFonts w:ascii="Times New Roman" w:eastAsia="Times New Roman" w:hAnsi="Times New Roman" w:cs="Times New Roman"/>
          <w:sz w:val="24"/>
          <w:szCs w:val="24"/>
        </w:rPr>
        <w:t xml:space="preserve"> How law schools feed the land use and real estate legal ecosystem. Pipeline from land use clinics → </w:t>
      </w:r>
      <w:proofErr w:type="spellStart"/>
      <w:r w:rsidRPr="005A27EB">
        <w:rPr>
          <w:rFonts w:ascii="Times New Roman" w:eastAsia="Times New Roman" w:hAnsi="Times New Roman" w:cs="Times New Roman"/>
          <w:sz w:val="24"/>
          <w:szCs w:val="24"/>
        </w:rPr>
        <w:t>BigLaw</w:t>
      </w:r>
      <w:proofErr w:type="spellEnd"/>
      <w:r w:rsidRPr="005A27EB">
        <w:rPr>
          <w:rFonts w:ascii="Times New Roman" w:eastAsia="Times New Roman" w:hAnsi="Times New Roman" w:cs="Times New Roman"/>
          <w:sz w:val="24"/>
          <w:szCs w:val="24"/>
        </w:rPr>
        <w:t xml:space="preserve"> real estate practices → city attorney offices → developer in-house counsel. Pacific Legal Foundation as strategic litigation funder — directly tied to Koontz and Sheetz.</w:t>
      </w:r>
    </w:p>
    <w:p w14:paraId="68D67291"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i/>
          <w:iCs/>
          <w:sz w:val="24"/>
          <w:szCs w:val="24"/>
        </w:rPr>
        <w:t>Right — Utility side:</w:t>
      </w:r>
      <w:r w:rsidRPr="005A27EB">
        <w:rPr>
          <w:rFonts w:ascii="Times New Roman" w:eastAsia="Times New Roman" w:hAnsi="Times New Roman" w:cs="Times New Roman"/>
          <w:sz w:val="24"/>
          <w:szCs w:val="24"/>
        </w:rPr>
        <w:t xml:space="preserve"> How law schools feed the utility legal and regulatory ecosystem. Pipeline from law school → </w:t>
      </w:r>
      <w:proofErr w:type="spellStart"/>
      <w:r w:rsidRPr="005A27EB">
        <w:rPr>
          <w:rFonts w:ascii="Times New Roman" w:eastAsia="Times New Roman" w:hAnsi="Times New Roman" w:cs="Times New Roman"/>
          <w:sz w:val="24"/>
          <w:szCs w:val="24"/>
        </w:rPr>
        <w:t>BigLaw</w:t>
      </w:r>
      <w:proofErr w:type="spellEnd"/>
      <w:r w:rsidRPr="005A27EB">
        <w:rPr>
          <w:rFonts w:ascii="Times New Roman" w:eastAsia="Times New Roman" w:hAnsi="Times New Roman" w:cs="Times New Roman"/>
          <w:sz w:val="24"/>
          <w:szCs w:val="24"/>
        </w:rPr>
        <w:t xml:space="preserve"> energy/regulatory practices → PUC commissioners → utility in-house counsel → back to regulatory bodies. Institutional layer: EEI (Edison Electric Institute) and NARUC (National Association of Regulatory Utility Commissioners).</w:t>
      </w:r>
    </w:p>
    <w:p w14:paraId="05F619DE"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Prose, not bulleted lists unless the flow demands it. Do not force sentence-for-sentence symmetry. Structural similarity is visible in what is named, not in matching word counts.</w:t>
      </w:r>
    </w:p>
    <w:p w14:paraId="4D4B106C"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Combined Law School Panel</w:t>
      </w:r>
    </w:p>
    <w:p w14:paraId="53C1D09B"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lastRenderedPageBreak/>
        <w:t>Full-width panel below the split law school panels. Covers the cultural layer that both halves share.</w:t>
      </w:r>
    </w:p>
    <w:p w14:paraId="4D6CAE30"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Working hypothesis: the internship-driven pipeline into the legal professions operates as a selection mechanism (not an indoctrination process in the designed sense). Law students enter an opaque system — firms, courts, agencies, unwritten professional norms — that they have no independent map for. The only way to learn the system is from people who benefit from keeping it the way it is. Students who do not adapt to the frame quit or are counseled out; students who adapt get socialized into protecting the frame. The principal-agent relationship structurally tilts the intern's loyalty toward the payer, not toward future clients or the public.</w:t>
      </w:r>
    </w:p>
    <w:p w14:paraId="5D634625"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This panel is explicitly flagged as an initial observation requiring more research. Term to use: "asymmetry of legibility" — the entering student has no independent map of the system they are being socialized into, and the only available maps come from incumbents. Avoid "indoctrination shock" / bootcamp analogy framing in the published text — keep it as background reasoning, not the foreground claim.</w:t>
      </w:r>
    </w:p>
    <w:p w14:paraId="4486EA0F"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Deliverable Purpose</w:t>
      </w:r>
    </w:p>
    <w:p w14:paraId="06CE1B84"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i/>
          <w:iCs/>
          <w:sz w:val="24"/>
          <w:szCs w:val="24"/>
        </w:rPr>
        <w:t>Target Audience:</w:t>
      </w:r>
      <w:r w:rsidRPr="005A27EB">
        <w:rPr>
          <w:rFonts w:ascii="Times New Roman" w:eastAsia="Times New Roman" w:hAnsi="Times New Roman" w:cs="Times New Roman"/>
          <w:sz w:val="24"/>
          <w:szCs w:val="24"/>
        </w:rPr>
        <w:t xml:space="preserve"> Property law professor. Engages with students who engage with the material. Responds to think-</w:t>
      </w:r>
      <w:proofErr w:type="gramStart"/>
      <w:r w:rsidRPr="005A27EB">
        <w:rPr>
          <w:rFonts w:ascii="Times New Roman" w:eastAsia="Times New Roman" w:hAnsi="Times New Roman" w:cs="Times New Roman"/>
          <w:sz w:val="24"/>
          <w:szCs w:val="24"/>
        </w:rPr>
        <w:t>first-respond</w:t>
      </w:r>
      <w:proofErr w:type="gramEnd"/>
      <w:r w:rsidRPr="005A27EB">
        <w:rPr>
          <w:rFonts w:ascii="Times New Roman" w:eastAsia="Times New Roman" w:hAnsi="Times New Roman" w:cs="Times New Roman"/>
          <w:sz w:val="24"/>
          <w:szCs w:val="24"/>
        </w:rPr>
        <w:t>-later dynamic. Primed the conversation by telling the user to "hold that thought" to preserve fresh pattern recognition before doctrinal training could bias the instinct.</w:t>
      </w:r>
    </w:p>
    <w:p w14:paraId="2C02572B"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i/>
          <w:iCs/>
          <w:sz w:val="24"/>
          <w:szCs w:val="24"/>
        </w:rPr>
        <w:t>Primary Purpose:</w:t>
      </w:r>
      <w:r w:rsidRPr="005A27EB">
        <w:rPr>
          <w:rFonts w:ascii="Times New Roman" w:eastAsia="Times New Roman" w:hAnsi="Times New Roman" w:cs="Times New Roman"/>
          <w:sz w:val="24"/>
          <w:szCs w:val="24"/>
        </w:rPr>
        <w:t xml:space="preserve"> Mental model testing artifact. Invitation to discussion, not a persuasion tool. A visual framework the professor can think through and push back on. If the framework survives adversarial examination, it models something real. If not, the user wants to know.</w:t>
      </w:r>
    </w:p>
    <w:p w14:paraId="70D6D9A5"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i/>
          <w:iCs/>
          <w:sz w:val="24"/>
          <w:szCs w:val="24"/>
        </w:rPr>
        <w:t>Not a Published Paper:</w:t>
      </w:r>
      <w:r w:rsidRPr="005A27EB">
        <w:rPr>
          <w:rFonts w:ascii="Times New Roman" w:eastAsia="Times New Roman" w:hAnsi="Times New Roman" w:cs="Times New Roman"/>
          <w:sz w:val="24"/>
          <w:szCs w:val="24"/>
        </w:rPr>
        <w:t xml:space="preserve"> Not complete. Does not need to be complete. Working hypotheses must remain explicitly labeled as such throughout.</w:t>
      </w:r>
    </w:p>
    <w:p w14:paraId="7D6884A6"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i/>
          <w:iCs/>
          <w:sz w:val="24"/>
          <w:szCs w:val="24"/>
        </w:rPr>
        <w:t>Secondary Purpose:</w:t>
      </w:r>
      <w:r w:rsidRPr="005A27EB">
        <w:rPr>
          <w:rFonts w:ascii="Times New Roman" w:eastAsia="Times New Roman" w:hAnsi="Times New Roman" w:cs="Times New Roman"/>
          <w:sz w:val="24"/>
          <w:szCs w:val="24"/>
        </w:rPr>
        <w:t xml:space="preserve"> Permanent URL at </w:t>
      </w:r>
      <w:r w:rsidRPr="005A27EB">
        <w:rPr>
          <w:rFonts w:ascii="Courier New" w:eastAsia="Times New Roman" w:hAnsi="Courier New" w:cs="Courier New"/>
          <w:sz w:val="20"/>
          <w:szCs w:val="20"/>
        </w:rPr>
        <w:t>istuckert.github.io/Incentive-Machine/professor-bray/</w:t>
      </w:r>
      <w:r w:rsidRPr="005A27EB">
        <w:rPr>
          <w:rFonts w:ascii="Times New Roman" w:eastAsia="Times New Roman" w:hAnsi="Times New Roman" w:cs="Times New Roman"/>
          <w:sz w:val="24"/>
          <w:szCs w:val="24"/>
        </w:rPr>
        <w:t xml:space="preserve"> that the professor can revisit, share with other students, or reference later.</w:t>
      </w:r>
    </w:p>
    <w:p w14:paraId="2DB5E24C"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b/>
          <w:bCs/>
          <w:sz w:val="24"/>
          <w:szCs w:val="24"/>
        </w:rPr>
        <w:t>Instructions for Claude Code</w:t>
      </w:r>
    </w:p>
    <w:p w14:paraId="35B7392E" w14:textId="77777777" w:rsidR="005123EE" w:rsidRPr="005A27EB" w:rsidRDefault="005123EE" w:rsidP="005123EE">
      <w:p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When Claude Code references this document as context for building the website:</w:t>
      </w:r>
    </w:p>
    <w:p w14:paraId="51195CB2" w14:textId="77777777" w:rsidR="005123EE" w:rsidRPr="005A27EB" w:rsidRDefault="005123EE" w:rsidP="005123EE">
      <w:pPr>
        <w:numPr>
          <w:ilvl w:val="0"/>
          <w:numId w:val="1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Architectural mirror of visa module; content structure is driven by the data of this subject, not by what the visa project did</w:t>
      </w:r>
    </w:p>
    <w:p w14:paraId="55060157" w14:textId="77777777" w:rsidR="005123EE" w:rsidRPr="005A27EB" w:rsidRDefault="005123EE" w:rsidP="005123EE">
      <w:pPr>
        <w:numPr>
          <w:ilvl w:val="0"/>
          <w:numId w:val="1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The diagram is the primary deliverable: two vertical diagrams side-by-side (Exaction left, Utility right), three tiers per diagram (Government top, Companies middle, People bottom), arrows split by side (left=up, right=down), short labels with hover/click expansion for detail, company logos in middle tier only</w:t>
      </w:r>
    </w:p>
    <w:p w14:paraId="626E36ED" w14:textId="77777777" w:rsidR="005123EE" w:rsidRPr="005A27EB" w:rsidRDefault="005123EE" w:rsidP="005123EE">
      <w:pPr>
        <w:numPr>
          <w:ilvl w:val="0"/>
          <w:numId w:val="1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lastRenderedPageBreak/>
        <w:t>Bray statement, legal short, working thesis, jurisdictional fragmentation, split law school, and combined law school panels frame and support the diagram; panels come before the diagram (framing) or below it (systemic shielding and professional pipeline)</w:t>
      </w:r>
    </w:p>
    <w:p w14:paraId="393E1783" w14:textId="77777777" w:rsidR="005123EE" w:rsidRPr="005A27EB" w:rsidRDefault="005123EE" w:rsidP="005123EE">
      <w:pPr>
        <w:numPr>
          <w:ilvl w:val="0"/>
          <w:numId w:val="1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Working hypotheses are never conclusions. This document contains explicitly labeled working hypotheses; present them as such in the final output. Do not smooth over provisional language.</w:t>
      </w:r>
    </w:p>
    <w:p w14:paraId="1E18C845" w14:textId="77777777" w:rsidR="005123EE" w:rsidRPr="005A27EB" w:rsidRDefault="005123EE" w:rsidP="005123EE">
      <w:pPr>
        <w:numPr>
          <w:ilvl w:val="0"/>
          <w:numId w:val="1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The AI reader note at the top of this document applies to the website output. The parallel is structural, not identity. Do not force equivalence where the data does not support it.</w:t>
      </w:r>
    </w:p>
    <w:p w14:paraId="37C7C414" w14:textId="77777777" w:rsidR="005123EE" w:rsidRPr="005A27EB" w:rsidRDefault="005123EE" w:rsidP="005123EE">
      <w:pPr>
        <w:numPr>
          <w:ilvl w:val="0"/>
          <w:numId w:val="1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Professor Bray is the audience. Tone is factual, structural, slightly understated. Not polemical. Not conspiratorial.</w:t>
      </w:r>
    </w:p>
    <w:p w14:paraId="05B9F1E9" w14:textId="77777777" w:rsidR="005123EE" w:rsidRPr="005A27EB" w:rsidRDefault="005123EE" w:rsidP="005123EE">
      <w:pPr>
        <w:numPr>
          <w:ilvl w:val="0"/>
          <w:numId w:val="1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Company logos are grayscale/muted, consistent sizing, recognizable names only.</w:t>
      </w:r>
    </w:p>
    <w:p w14:paraId="4982256D" w14:textId="77777777" w:rsidR="005123EE" w:rsidRPr="005A27EB" w:rsidRDefault="005123EE" w:rsidP="005123EE">
      <w:pPr>
        <w:numPr>
          <w:ilvl w:val="0"/>
          <w:numId w:val="1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Split hero is used, not a full-page split background. Hero ends at a hard edge before panel content; panels sit on a single charcoal background below.</w:t>
      </w:r>
    </w:p>
    <w:p w14:paraId="20E29FC4" w14:textId="77777777" w:rsidR="005123EE" w:rsidRPr="005A27EB" w:rsidRDefault="005123EE" w:rsidP="005123EE">
      <w:pPr>
        <w:numPr>
          <w:ilvl w:val="0"/>
          <w:numId w:val="11"/>
        </w:numPr>
        <w:spacing w:before="100" w:beforeAutospacing="1" w:after="100" w:afterAutospacing="1"/>
        <w:rPr>
          <w:rFonts w:ascii="Times New Roman" w:eastAsia="Times New Roman" w:hAnsi="Times New Roman" w:cs="Times New Roman"/>
          <w:sz w:val="24"/>
          <w:szCs w:val="24"/>
        </w:rPr>
      </w:pPr>
      <w:r w:rsidRPr="005A27EB">
        <w:rPr>
          <w:rFonts w:ascii="Times New Roman" w:eastAsia="Times New Roman" w:hAnsi="Times New Roman" w:cs="Times New Roman"/>
          <w:sz w:val="24"/>
          <w:szCs w:val="24"/>
        </w:rPr>
        <w:t xml:space="preserve">Website is catalogued at </w:t>
      </w:r>
      <w:r w:rsidRPr="005A27EB">
        <w:rPr>
          <w:rFonts w:ascii="Courier New" w:eastAsia="Times New Roman" w:hAnsi="Courier New" w:cs="Courier New"/>
          <w:sz w:val="20"/>
          <w:szCs w:val="20"/>
        </w:rPr>
        <w:t>istuckert.github.io/Incentive-Machine/professor-bray/</w:t>
      </w:r>
      <w:r w:rsidRPr="005A27EB">
        <w:rPr>
          <w:rFonts w:ascii="Times New Roman" w:eastAsia="Times New Roman" w:hAnsi="Times New Roman" w:cs="Times New Roman"/>
          <w:sz w:val="24"/>
          <w:szCs w:val="24"/>
        </w:rPr>
        <w:t xml:space="preserve"> in the user's existing repository structure, following the pattern established by the visa project.</w:t>
      </w:r>
    </w:p>
    <w:p w14:paraId="3117DB86" w14:textId="77777777" w:rsidR="005123EE" w:rsidRPr="005A27EB" w:rsidRDefault="00D3340C" w:rsidP="005123EE">
      <w:pPr>
        <w:rPr>
          <w:rFonts w:ascii="Times New Roman" w:eastAsia="Times New Roman" w:hAnsi="Times New Roman" w:cs="Times New Roman"/>
          <w:sz w:val="24"/>
          <w:szCs w:val="24"/>
        </w:rPr>
      </w:pPr>
      <w:r w:rsidRPr="00D3340C">
        <w:rPr>
          <w:rFonts w:ascii="Times New Roman" w:eastAsia="Times New Roman" w:hAnsi="Times New Roman" w:cs="Times New Roman"/>
          <w:noProof/>
          <w:sz w:val="24"/>
          <w:szCs w:val="24"/>
          <w14:ligatures w14:val="standardContextual"/>
        </w:rPr>
        <w:pict w14:anchorId="7B4D7BCB">
          <v:rect id="_x0000_i1025" alt="" style="width:468pt;height:.05pt;mso-width-percent:0;mso-height-percent:0;mso-width-percent:0;mso-height-percent:0" o:hralign="center" o:hrstd="t" o:hr="t" fillcolor="#a0a0a0" stroked="f"/>
        </w:pict>
      </w:r>
    </w:p>
    <w:p w14:paraId="383D4732" w14:textId="77777777" w:rsidR="00F80501" w:rsidRDefault="00F80501"/>
    <w:sectPr w:rsidR="00F80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7CE3"/>
    <w:multiLevelType w:val="multilevel"/>
    <w:tmpl w:val="E852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13D21"/>
    <w:multiLevelType w:val="multilevel"/>
    <w:tmpl w:val="B204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04E20"/>
    <w:multiLevelType w:val="multilevel"/>
    <w:tmpl w:val="C352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937C2"/>
    <w:multiLevelType w:val="multilevel"/>
    <w:tmpl w:val="80C8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F16533"/>
    <w:multiLevelType w:val="multilevel"/>
    <w:tmpl w:val="2D3E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427C0"/>
    <w:multiLevelType w:val="multilevel"/>
    <w:tmpl w:val="6094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81C7F"/>
    <w:multiLevelType w:val="multilevel"/>
    <w:tmpl w:val="EB5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97753"/>
    <w:multiLevelType w:val="multilevel"/>
    <w:tmpl w:val="03CE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6AA9"/>
    <w:multiLevelType w:val="multilevel"/>
    <w:tmpl w:val="68C0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3A2BF6"/>
    <w:multiLevelType w:val="multilevel"/>
    <w:tmpl w:val="8644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97268"/>
    <w:multiLevelType w:val="multilevel"/>
    <w:tmpl w:val="9A36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113390">
    <w:abstractNumId w:val="3"/>
  </w:num>
  <w:num w:numId="2" w16cid:durableId="1028876678">
    <w:abstractNumId w:val="4"/>
  </w:num>
  <w:num w:numId="3" w16cid:durableId="1696536226">
    <w:abstractNumId w:val="10"/>
  </w:num>
  <w:num w:numId="4" w16cid:durableId="671375150">
    <w:abstractNumId w:val="9"/>
  </w:num>
  <w:num w:numId="5" w16cid:durableId="733819792">
    <w:abstractNumId w:val="6"/>
  </w:num>
  <w:num w:numId="6" w16cid:durableId="1231619399">
    <w:abstractNumId w:val="7"/>
  </w:num>
  <w:num w:numId="7" w16cid:durableId="2141410410">
    <w:abstractNumId w:val="2"/>
  </w:num>
  <w:num w:numId="8" w16cid:durableId="374740254">
    <w:abstractNumId w:val="5"/>
  </w:num>
  <w:num w:numId="9" w16cid:durableId="752244765">
    <w:abstractNumId w:val="8"/>
  </w:num>
  <w:num w:numId="10" w16cid:durableId="817956747">
    <w:abstractNumId w:val="0"/>
  </w:num>
  <w:num w:numId="11" w16cid:durableId="355273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EE"/>
    <w:rsid w:val="001943F6"/>
    <w:rsid w:val="001E1393"/>
    <w:rsid w:val="005123EE"/>
    <w:rsid w:val="006E04B7"/>
    <w:rsid w:val="00832B38"/>
    <w:rsid w:val="009F6795"/>
    <w:rsid w:val="00A34292"/>
    <w:rsid w:val="00D3340C"/>
    <w:rsid w:val="00F805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087C"/>
  <w15:chartTrackingRefBased/>
  <w15:docId w15:val="{065B53A4-52C8-5649-9CD6-A7BEB4294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3EE"/>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512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3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3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3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3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3EE"/>
    <w:rPr>
      <w:rFonts w:eastAsiaTheme="majorEastAsia" w:cstheme="majorBidi"/>
      <w:color w:val="272727" w:themeColor="text1" w:themeTint="D8"/>
    </w:rPr>
  </w:style>
  <w:style w:type="paragraph" w:styleId="Title">
    <w:name w:val="Title"/>
    <w:basedOn w:val="Normal"/>
    <w:next w:val="Normal"/>
    <w:link w:val="TitleChar"/>
    <w:uiPriority w:val="10"/>
    <w:qFormat/>
    <w:rsid w:val="005123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3EE"/>
    <w:pPr>
      <w:spacing w:before="160"/>
      <w:jc w:val="center"/>
    </w:pPr>
    <w:rPr>
      <w:i/>
      <w:iCs/>
      <w:color w:val="404040" w:themeColor="text1" w:themeTint="BF"/>
    </w:rPr>
  </w:style>
  <w:style w:type="character" w:customStyle="1" w:styleId="QuoteChar">
    <w:name w:val="Quote Char"/>
    <w:basedOn w:val="DefaultParagraphFont"/>
    <w:link w:val="Quote"/>
    <w:uiPriority w:val="29"/>
    <w:rsid w:val="005123EE"/>
    <w:rPr>
      <w:i/>
      <w:iCs/>
      <w:color w:val="404040" w:themeColor="text1" w:themeTint="BF"/>
    </w:rPr>
  </w:style>
  <w:style w:type="paragraph" w:styleId="ListParagraph">
    <w:name w:val="List Paragraph"/>
    <w:basedOn w:val="Normal"/>
    <w:uiPriority w:val="34"/>
    <w:qFormat/>
    <w:rsid w:val="005123EE"/>
    <w:pPr>
      <w:ind w:left="720"/>
      <w:contextualSpacing/>
    </w:pPr>
  </w:style>
  <w:style w:type="character" w:styleId="IntenseEmphasis">
    <w:name w:val="Intense Emphasis"/>
    <w:basedOn w:val="DefaultParagraphFont"/>
    <w:uiPriority w:val="21"/>
    <w:qFormat/>
    <w:rsid w:val="005123EE"/>
    <w:rPr>
      <w:i/>
      <w:iCs/>
      <w:color w:val="0F4761" w:themeColor="accent1" w:themeShade="BF"/>
    </w:rPr>
  </w:style>
  <w:style w:type="paragraph" w:styleId="IntenseQuote">
    <w:name w:val="Intense Quote"/>
    <w:basedOn w:val="Normal"/>
    <w:next w:val="Normal"/>
    <w:link w:val="IntenseQuoteChar"/>
    <w:uiPriority w:val="30"/>
    <w:qFormat/>
    <w:rsid w:val="00512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3EE"/>
    <w:rPr>
      <w:i/>
      <w:iCs/>
      <w:color w:val="0F4761" w:themeColor="accent1" w:themeShade="BF"/>
    </w:rPr>
  </w:style>
  <w:style w:type="character" w:styleId="IntenseReference">
    <w:name w:val="Intense Reference"/>
    <w:basedOn w:val="DefaultParagraphFont"/>
    <w:uiPriority w:val="32"/>
    <w:qFormat/>
    <w:rsid w:val="00512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2174</Words>
  <Characters>12392</Characters>
  <Application>Microsoft Office Word</Application>
  <DocSecurity>0</DocSecurity>
  <Lines>103</Lines>
  <Paragraphs>29</Paragraphs>
  <ScaleCrop>false</ScaleCrop>
  <Company/>
  <LinksUpToDate>false</LinksUpToDate>
  <CharactersWithSpaces>14537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Stuckert</dc:creator>
  <cp:keywords/>
  <dc:description/>
  <cp:lastModifiedBy>Ian Stuckert</cp:lastModifiedBy>
  <cp:revision>1</cp:revision>
  <dcterms:created xsi:type="dcterms:W3CDTF">2026-04-22T20:13:00Z</dcterms:created>
  <dcterms:modified xsi:type="dcterms:W3CDTF">2026-04-22T20:14:00Z</dcterms:modified>
</cp:coreProperties>
</file>