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Service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auth</w:t>
            </w:r>
          </w:p>
        </w:tc>
        <w:tc>
          <w:p>
            <w:r>
              <w:t>green</w:t>
            </w:r>
          </w:p>
        </w:tc>
      </w:tr>
    </w:tbl>
    <w:p>
      <w:r>
        <w:t>End of report.</w:t>
      </w:r>
    </w:p>
  </w:body>
</w:document>
</file>