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626" w:h="274" w:wrap="none" w:hAnchor="page" w:x="1141" w:y="-6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接地工事(雷保護設備)</w:t>
      </w:r>
    </w:p>
    <w:tbl>
      <w:tblPr>
        <w:tblOverlap w:val="never"/>
        <w:jc w:val="left"/>
        <w:tblLayout w:type="fixed"/>
      </w:tblPr>
      <w:tblGrid>
        <w:gridCol w:w="1858"/>
        <w:gridCol w:w="739"/>
        <w:gridCol w:w="370"/>
        <w:gridCol w:w="370"/>
        <w:gridCol w:w="370"/>
        <w:gridCol w:w="739"/>
        <w:gridCol w:w="739"/>
        <w:gridCol w:w="739"/>
        <w:gridCol w:w="749"/>
      </w:tblGrid>
      <w:tr>
        <w:trPr>
          <w:trHeight w:val="31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通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作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業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員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180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672" w:h="5712" w:hSpace="1382" w:wrap="none" w:hAnchor="page" w:x="2605" w:y="18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672" w:h="5712" w:hSpace="1382" w:wrap="none" w:hAnchor="page" w:x="2605" w:y="18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2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接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地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銅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24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銅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覆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鋼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接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地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極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設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標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6672" w:h="5712" w:hSpace="1382" w:wrap="none" w:hAnchor="page" w:x="2605" w:y="18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672" w:h="5712" w:hSpace="1382" w:wrap="none" w:hAnchor="page" w:x="2605" w:y="184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6672" w:h="5712" w:hSpace="1382" w:wrap="none" w:hAnchor="page" w:x="2605" w:y="184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framePr w:w="6672" w:h="5712" w:hSpace="1382" w:wrap="none" w:hAnchor="page" w:x="2605" w:y="184"/>
            </w:pPr>
          </w:p>
        </w:tc>
      </w:tr>
      <w:tr>
        <w:trPr>
          <w:trHeight w:val="46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［枚］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［組］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［枚］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900×900×1.5ｔ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500×500×1.5ｔ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500×250×1.5ｔ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価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単独打込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２連結打込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か所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6672" w:h="5712" w:hSpace="1382" w:wrap="none" w:hAnchor="page" w:x="2605" w:y="18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0.183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３連結打込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6672" w:h="5712" w:hSpace="1382" w:wrap="none" w:hAnchor="page" w:x="2605" w:y="184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</w:tr>
      <w:tr>
        <w:trPr>
          <w:trHeight w:val="14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黄銅板製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6672" w:h="5712" w:hSpace="1382" w:wrap="none" w:hAnchor="page" w:x="2605" w:y="18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672" w:h="5712" w:hSpace="1382" w:wrap="none" w:hAnchor="page" w:x="2605" w:y="18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672" w:h="5712" w:hSpace="1382" w:wrap="none" w:hAnchor="page" w:x="2605" w:y="184"/>
        <w:widowControl w:val="0"/>
        <w:spacing w:line="1" w:lineRule="exact"/>
      </w:pPr>
    </w:p>
    <w:p>
      <w:pPr>
        <w:pStyle w:val="Style2"/>
        <w:keepNext w:val="0"/>
        <w:keepLines w:val="0"/>
        <w:framePr w:w="686" w:h="269" w:wrap="none" w:hAnchor="page" w:x="5423" w:y="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　料</w:t>
      </w:r>
    </w:p>
    <w:p>
      <w:pPr>
        <w:pStyle w:val="Style8"/>
        <w:keepNext w:val="0"/>
        <w:keepLines w:val="0"/>
        <w:framePr w:w="691" w:h="269" w:wrap="none" w:hAnchor="page" w:x="1539" w:y="1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細　目</w:t>
      </w:r>
    </w:p>
    <w:p>
      <w:pPr>
        <w:pStyle w:val="Style8"/>
        <w:keepNext w:val="0"/>
        <w:keepLines w:val="0"/>
        <w:framePr w:w="691" w:h="269" w:wrap="none" w:hAnchor="page" w:x="9671" w:y="1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　考</w:t>
      </w:r>
    </w:p>
    <w:p>
      <w:pPr>
        <w:pStyle w:val="Style8"/>
        <w:keepNext w:val="0"/>
        <w:keepLines w:val="0"/>
        <w:framePr w:w="691" w:h="269" w:wrap="none" w:hAnchor="page" w:x="1539" w:y="3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銅板式</w:t>
      </w:r>
    </w:p>
    <w:p>
      <w:pPr>
        <w:pStyle w:val="Style8"/>
        <w:keepNext w:val="0"/>
        <w:keepLines w:val="0"/>
        <w:framePr w:w="691" w:h="269" w:wrap="none" w:hAnchor="page" w:x="1539" w:y="38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打込式</w:t>
      </w:r>
    </w:p>
    <w:p>
      <w:pPr>
        <w:pStyle w:val="Style8"/>
        <w:keepNext w:val="0"/>
        <w:keepLines w:val="0"/>
        <w:framePr w:w="1325" w:h="269" w:wrap="none" w:hAnchor="page" w:x="1223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接地極埋設標</w:t>
      </w:r>
    </w:p>
    <w:p>
      <w:pPr>
        <w:pStyle w:val="Style8"/>
        <w:keepNext w:val="0"/>
        <w:keepLines w:val="0"/>
        <w:framePr w:w="1459" w:h="1402" w:wrap="none" w:hAnchor="page" w:x="9277" w:y="446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測定共</w:t>
      </w:r>
    </w:p>
    <w:p>
      <w:pPr>
        <w:pStyle w:val="Style8"/>
        <w:keepNext w:val="0"/>
        <w:keepLines w:val="0"/>
        <w:framePr w:w="1459" w:h="1402" w:wrap="none" w:hAnchor="page" w:x="9277" w:y="446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測　定</w:t>
      </w:r>
    </w:p>
    <w:p>
      <w:pPr>
        <w:pStyle w:val="Style8"/>
        <w:keepNext w:val="0"/>
        <w:keepLines w:val="0"/>
        <w:framePr w:w="1459" w:h="1402" w:wrap="none" w:hAnchor="page" w:x="9277" w:y="446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0.223人</w:t>
      </w:r>
    </w:p>
    <w:p>
      <w:pPr>
        <w:pStyle w:val="Style8"/>
        <w:keepNext w:val="0"/>
        <w:keepLines w:val="0"/>
        <w:framePr w:w="1459" w:h="1402" w:wrap="none" w:hAnchor="page" w:x="9277" w:y="446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埋設標</w:t>
      </w:r>
    </w:p>
    <w:p>
      <w:pPr>
        <w:pStyle w:val="Style8"/>
        <w:keepNext w:val="0"/>
        <w:keepLines w:val="0"/>
        <w:framePr w:w="1459" w:h="1402" w:wrap="none" w:hAnchor="page" w:x="9277" w:y="446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0.084人</w:t>
      </w:r>
    </w:p>
    <w:p>
      <w:pPr>
        <w:pStyle w:val="Style2"/>
        <w:keepNext w:val="0"/>
        <w:keepLines w:val="0"/>
        <w:framePr w:w="691" w:h="269" w:wrap="none" w:hAnchor="page" w:x="3201" w:y="1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摘　要</w:t>
      </w:r>
    </w:p>
    <w:p>
      <w:pPr>
        <w:pStyle w:val="Style2"/>
        <w:keepNext w:val="0"/>
        <w:keepLines w:val="0"/>
        <w:framePr w:w="480" w:h="269" w:wrap="none" w:hAnchor="page" w:x="4602" w:y="1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単位</w:t>
      </w:r>
    </w:p>
    <w:p>
      <w:pPr>
        <w:pStyle w:val="Style10"/>
        <w:keepNext w:val="0"/>
        <w:keepLines w:val="0"/>
        <w:framePr w:w="1181" w:h="250" w:wrap="none" w:hAnchor="page" w:x="5173" w:y="24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［枚］［組］［枚］</w:t>
      </w:r>
    </w:p>
    <w:p>
      <w:pPr>
        <w:pStyle w:val="Style2"/>
        <w:keepNext w:val="0"/>
        <w:keepLines w:val="0"/>
        <w:framePr w:w="480" w:h="269" w:wrap="none" w:hAnchor="page" w:x="7189" w:y="2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80" w:h="269" w:wrap="none" w:hAnchor="page" w:x="7929" w:y="24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1637" w:h="269" w:wrap="none" w:hAnchor="page" w:x="2730" w:y="27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900×900×1.5ｔ</w:t>
      </w:r>
    </w:p>
    <w:p>
      <w:pPr>
        <w:pStyle w:val="Style2"/>
        <w:keepNext w:val="0"/>
        <w:keepLines w:val="0"/>
        <w:framePr w:w="1637" w:h="269" w:wrap="none" w:hAnchor="page" w:x="2730" w:y="3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500×500×1.5ｔ</w:t>
      </w:r>
    </w:p>
    <w:p>
      <w:pPr>
        <w:pStyle w:val="Style2"/>
        <w:keepNext w:val="0"/>
        <w:keepLines w:val="0"/>
        <w:framePr w:w="1637" w:h="269" w:wrap="none" w:hAnchor="page" w:x="2730" w:y="33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500×250×1.5ｔ</w:t>
      </w:r>
    </w:p>
    <w:p>
      <w:pPr>
        <w:pStyle w:val="Style2"/>
        <w:keepNext w:val="0"/>
        <w:keepLines w:val="0"/>
        <w:framePr w:w="898" w:h="269" w:wrap="none" w:hAnchor="page" w:x="3100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単独打込</w:t>
      </w:r>
    </w:p>
    <w:p>
      <w:pPr>
        <w:pStyle w:val="Style2"/>
        <w:keepNext w:val="0"/>
        <w:keepLines w:val="0"/>
        <w:framePr w:w="1109" w:h="269" w:wrap="none" w:hAnchor="page" w:x="2994" w:y="38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２連結打込</w:t>
      </w:r>
    </w:p>
    <w:p>
      <w:pPr>
        <w:pStyle w:val="Style2"/>
        <w:keepNext w:val="0"/>
        <w:keepLines w:val="0"/>
        <w:framePr w:w="1109" w:h="269" w:wrap="none" w:hAnchor="page" w:x="2994" w:y="41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３連結打込</w:t>
      </w:r>
    </w:p>
    <w:p>
      <w:pPr>
        <w:pStyle w:val="Style2"/>
        <w:keepNext w:val="0"/>
        <w:keepLines w:val="0"/>
        <w:framePr w:w="898" w:h="269" w:wrap="none" w:hAnchor="page" w:x="3100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黄銅板製</w:t>
      </w:r>
    </w:p>
    <w:p>
      <w:pPr>
        <w:pStyle w:val="Style2"/>
        <w:keepNext w:val="0"/>
        <w:keepLines w:val="0"/>
        <w:framePr w:w="480" w:h="269" w:wrap="none" w:hAnchor="page" w:x="7189" w:y="27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1.53</w:t>
      </w:r>
    </w:p>
    <w:p>
      <w:pPr>
        <w:pStyle w:val="Style2"/>
        <w:keepNext w:val="0"/>
        <w:keepLines w:val="0"/>
        <w:framePr w:w="480" w:h="269" w:wrap="none" w:hAnchor="page" w:x="7929" w:y="27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3.58</w:t>
      </w:r>
    </w:p>
    <w:p>
      <w:pPr>
        <w:pStyle w:val="Style2"/>
        <w:keepNext w:val="0"/>
        <w:keepLines w:val="0"/>
        <w:framePr w:w="480" w:h="269" w:wrap="none" w:hAnchor="page" w:x="4602" w:y="3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か所</w:t>
      </w:r>
    </w:p>
    <w:p>
      <w:pPr>
        <w:pStyle w:val="Style2"/>
        <w:keepNext w:val="0"/>
        <w:keepLines w:val="0"/>
        <w:framePr w:w="480" w:h="269" w:wrap="none" w:hAnchor="page" w:x="4602" w:y="38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か所</w:t>
      </w:r>
    </w:p>
    <w:p>
      <w:pPr>
        <w:pStyle w:val="Style2"/>
        <w:keepNext w:val="0"/>
        <w:keepLines w:val="0"/>
        <w:framePr w:w="480" w:h="269" w:wrap="none" w:hAnchor="page" w:x="6445" w:y="30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１式</w:t>
      </w:r>
    </w:p>
    <w:p>
      <w:pPr>
        <w:pStyle w:val="Style2"/>
        <w:keepNext w:val="0"/>
        <w:keepLines w:val="0"/>
        <w:framePr w:w="586" w:h="269" w:wrap="none" w:hAnchor="page" w:x="7137" w:y="3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0.826</w:t>
      </w:r>
    </w:p>
    <w:p>
      <w:pPr>
        <w:pStyle w:val="Style2"/>
        <w:keepNext w:val="0"/>
        <w:keepLines w:val="0"/>
        <w:framePr w:w="586" w:h="269" w:wrap="none" w:hAnchor="page" w:x="7137" w:y="33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0.609</w:t>
      </w:r>
    </w:p>
    <w:p>
      <w:pPr>
        <w:pStyle w:val="Style2"/>
        <w:keepNext w:val="0"/>
        <w:keepLines w:val="0"/>
        <w:framePr w:w="586" w:h="269" w:wrap="none" w:hAnchor="page" w:x="7137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0.183</w:t>
      </w:r>
    </w:p>
    <w:p>
      <w:pPr>
        <w:pStyle w:val="Style2"/>
        <w:keepNext w:val="0"/>
        <w:keepLines w:val="0"/>
        <w:framePr w:w="586" w:h="269" w:wrap="none" w:hAnchor="page" w:x="7137" w:y="38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0.287</w:t>
      </w:r>
    </w:p>
    <w:p>
      <w:pPr>
        <w:pStyle w:val="Style2"/>
        <w:keepNext w:val="0"/>
        <w:keepLines w:val="0"/>
        <w:framePr w:w="586" w:h="269" w:wrap="none" w:hAnchor="page" w:x="7137" w:y="41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0.383</w:t>
      </w:r>
    </w:p>
    <w:p>
      <w:pPr>
        <w:pStyle w:val="Style2"/>
        <w:keepNext w:val="0"/>
        <w:keepLines w:val="0"/>
        <w:framePr w:w="480" w:h="269" w:wrap="none" w:hAnchor="page" w:x="7929" w:y="30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1.20</w:t>
      </w:r>
    </w:p>
    <w:p>
      <w:pPr>
        <w:pStyle w:val="Style2"/>
        <w:keepNext w:val="0"/>
        <w:keepLines w:val="0"/>
        <w:framePr w:w="480" w:h="269" w:wrap="none" w:hAnchor="page" w:x="7929" w:y="33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80" w:h="269" w:wrap="none" w:hAnchor="page" w:x="8668" w:y="41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１式</w:t>
      </w:r>
    </w:p>
    <w:p>
      <w:pPr>
        <w:pStyle w:val="Style2"/>
        <w:keepNext w:val="0"/>
        <w:keepLines w:val="0"/>
        <w:framePr w:w="480" w:h="269" w:wrap="none" w:hAnchor="page" w:x="6445" w:y="47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</w:t>
      </w:r>
    </w:p>
    <w:p>
      <w:pPr>
        <w:pStyle w:val="Style2"/>
        <w:keepNext w:val="0"/>
        <w:keepLines w:val="0"/>
        <w:framePr w:w="586" w:h="269" w:wrap="none" w:hAnchor="page" w:x="7137" w:y="50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0.307</w:t>
      </w:r>
    </w:p>
    <w:p>
      <w:pPr>
        <w:pStyle w:val="Style2"/>
        <w:keepNext w:val="0"/>
        <w:keepLines w:val="0"/>
        <w:framePr w:w="6394" w:h="259" w:wrap="none" w:hAnchor="page" w:x="1141" w:y="589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(注)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1.「その他」の率対象は、電工及び普通作業員とする。</w:t>
      </w:r>
    </w:p>
    <w:p>
      <w:pPr>
        <w:pStyle w:val="Style2"/>
        <w:keepNext w:val="0"/>
        <w:keepLines w:val="0"/>
        <w:framePr w:w="600" w:h="274" w:wrap="none" w:hAnchor="page" w:x="5596" w:y="138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-RE9-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98" w:line="1" w:lineRule="exact"/>
      </w:pPr>
    </w:p>
    <w:p>
      <w:pPr>
        <w:widowControl w:val="0"/>
        <w:spacing w:line="1" w:lineRule="exact"/>
      </w:pPr>
    </w:p>
    <w:sectPr>
      <w:headerReference w:type="default" r:id="rId5"/>
      <w:footnotePr>
        <w:pos w:val="pageBottom"/>
        <w:numFmt w:val="decimal"/>
        <w:numRestart w:val="continuous"/>
      </w:footnotePr>
      <w:pgSz w:w="11900" w:h="16840"/>
      <w:pgMar w:top="1781" w:left="1140" w:right="1164" w:bottom="980" w:header="0" w:footer="5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742315</wp:posOffset>
              </wp:positionH>
              <wp:positionV relativeFrom="page">
                <wp:posOffset>750570</wp:posOffset>
              </wp:positionV>
              <wp:extent cx="1362710" cy="3168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62710" cy="3168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CharStyle3"/>
                              <w:b/>
                              <w:bCs/>
                              <w:lang w:val="ja-JP" w:eastAsia="ja-JP" w:bidi="ja-JP"/>
                            </w:rPr>
                            <w:t>(接地工事)</w:t>
                          </w:r>
                        </w:p>
                        <w:p>
                          <w:pPr>
                            <w:pStyle w:val="Style1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CharStyle15"/>
                              <w:rFonts w:ascii="MS Mincho" w:eastAsia="MS Mincho" w:hAnsi="MS Mincho" w:cs="MS Mincho"/>
                            </w:rPr>
                            <w:t xml:space="preserve">表　</w:t>
                          </w:r>
                          <w:r>
                            <w:rPr>
                              <w:rStyle w:val="CharStyle15"/>
                            </w:rPr>
                            <w:t xml:space="preserve">RE-1-13 </w:t>
                          </w:r>
                          <w:r>
                            <w:rPr>
                              <w:rStyle w:val="CharStyle15"/>
                              <w:rFonts w:ascii="MS Mincho" w:eastAsia="MS Mincho" w:hAnsi="MS Mincho" w:cs="MS Mincho"/>
                              <w:lang w:val="ja-JP" w:eastAsia="ja-JP" w:bidi="ja-JP"/>
                            </w:rPr>
                            <w:t>【市】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8.450000000000003pt;margin-top:59.100000000000001pt;width:107.3pt;height:24.9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Style w:val="CharStyle3"/>
                        <w:b/>
                        <w:bCs/>
                        <w:lang w:val="ja-JP" w:eastAsia="ja-JP" w:bidi="ja-JP"/>
                      </w:rPr>
                      <w:t>(接地工事)</w:t>
                    </w:r>
                  </w:p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Style w:val="CharStyle15"/>
                        <w:rFonts w:ascii="MS Mincho" w:eastAsia="MS Mincho" w:hAnsi="MS Mincho" w:cs="MS Mincho"/>
                      </w:rPr>
                      <w:t xml:space="preserve">表　</w:t>
                    </w:r>
                    <w:r>
                      <w:rPr>
                        <w:rStyle w:val="CharStyle15"/>
                      </w:rPr>
                      <w:t xml:space="preserve">RE-1-13 </w:t>
                    </w:r>
                    <w:r>
                      <w:rPr>
                        <w:rStyle w:val="CharStyle15"/>
                        <w:rFonts w:ascii="MS Mincho" w:eastAsia="MS Mincho" w:hAnsi="MS Mincho" w:cs="MS Mincho"/>
                        <w:lang w:val="ja-JP" w:eastAsia="ja-JP" w:bidi="ja-JP"/>
                      </w:rPr>
                      <w:t>【市】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1087120</wp:posOffset>
              </wp:positionV>
              <wp:extent cx="610489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048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99999999999997pt;margin-top:85.599999999999994pt;width:480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1">
    <w:name w:val="本文|3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3">
    <w:name w:val="ヘッダーまたはフッター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本文|2_"/>
    <w:basedOn w:val="DefaultParagraphFont"/>
    <w:link w:val="Style14"/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  <w:spacing w:after="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0">
    <w:name w:val="本文|3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2">
    <w:name w:val="ヘッダーまたはフッター|1"/>
    <w:basedOn w:val="Normal"/>
    <w:link w:val="CharStyle1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本文|2"/>
    <w:basedOn w:val="Normal"/>
    <w:link w:val="CharStyle15"/>
    <w:pPr>
      <w:widowControl w:val="0"/>
      <w:shd w:val="clear" w:color="auto" w:fill="FFFFFF"/>
    </w:pPr>
    <w:rPr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