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098" w:h="274" w:wrap="none" w:hAnchor="page" w:x="1141"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RE-2-6 </w:t>
      </w:r>
      <w:r>
        <w:rPr>
          <w:color w:val="000000"/>
          <w:spacing w:val="0"/>
          <w:w w:val="100"/>
          <w:position w:val="0"/>
          <w:shd w:val="clear" w:color="auto" w:fill="auto"/>
          <w:lang w:val="ja-JP" w:eastAsia="ja-JP" w:bidi="ja-JP"/>
        </w:rPr>
        <w:t>【設】</w:t>
      </w:r>
    </w:p>
    <w:p>
      <w:pPr>
        <w:pStyle w:val="Style2"/>
        <w:keepNext w:val="0"/>
        <w:keepLines w:val="0"/>
        <w:framePr w:w="1982" w:h="274" w:wrap="none" w:hAnchor="page" w:x="1141" w:y="2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蛍光灯器具(イ)</w:t>
      </w:r>
    </w:p>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蛍光灯器具</w:t>
            </w:r>
          </w:p>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7406" w:wrap="none" w:hAnchor="page" w:x="1108" w:y="534"/>
            </w:pPr>
          </w:p>
        </w:tc>
        <w:tc>
          <w:tcPr>
            <w:vMerge/>
            <w:tcBorders>
              <w:left w:val="single" w:sz="4"/>
            </w:tcBorders>
            <w:shd w:val="clear" w:color="auto" w:fill="FFFFFF"/>
            <w:vAlign w:val="bottom"/>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r>
      <w:tr>
        <w:trPr>
          <w:trHeight w:val="283" w:hRule="exact"/>
        </w:trPr>
        <w:tc>
          <w:tcPr>
            <w:tcBorders>
              <w:top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10Ｗ×1</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0.174</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top"/>
          </w:tcPr>
          <w:p>
            <w:pPr>
              <w:framePr w:w="9672" w:h="7406" w:wrap="none" w:hAnchor="page" w:x="1108" w:y="534"/>
              <w:widowControl w:val="0"/>
              <w:rPr>
                <w:sz w:val="10"/>
                <w:szCs w:val="10"/>
              </w:rPr>
            </w:pPr>
          </w:p>
        </w:tc>
      </w:tr>
      <w:tr>
        <w:trPr>
          <w:trHeight w:val="259"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7" w:hRule="exact"/>
        </w:trPr>
        <w:tc>
          <w:tcPr>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30Ｗ×1</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59"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7" w:hRule="exact"/>
        </w:trPr>
        <w:tc>
          <w:tcPr>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0.591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10Ｗ×2</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30Ｗ×2</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0.278</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406" w:wrap="none" w:hAnchor="page" w:x="1108" w:y="534"/>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0.391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406" w:wrap="none" w:hAnchor="page" w:x="1108" w:y="534"/>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0.722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64"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10Ｗ×3</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406" w:wrap="none" w:hAnchor="page" w:x="1108" w:y="534"/>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2" w:hRule="exact"/>
        </w:trPr>
        <w:tc>
          <w:tcPr>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蛍光灯器具(埋込形)</w:t>
            </w: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20Ｗ×3</w:t>
            </w:r>
          </w:p>
        </w:tc>
        <w:tc>
          <w:tcPr>
            <w:vMerge w:val="restart"/>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0.313</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59"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40Ｗ×3</w:t>
            </w:r>
          </w:p>
        </w:tc>
        <w:tc>
          <w:tcPr>
            <w:vMerge/>
            <w:tcBorders>
              <w:left w:val="single" w:sz="4"/>
            </w:tcBorders>
            <w:shd w:val="clear" w:color="auto" w:fill="FFFFFF"/>
            <w:vAlign w:val="center"/>
          </w:tcPr>
          <w:p>
            <w:pPr>
              <w:framePr w:w="9672" w:h="7406" w:wrap="none" w:hAnchor="page" w:x="1108" w:y="534"/>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0.513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7" w:hRule="exact"/>
        </w:trPr>
        <w:tc>
          <w:tcPr>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0.913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20Ｗ×4</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40Ｗ×4</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0.670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110Ｗ×4</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20Ｗ×5</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40Ｗ×5</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0.670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110Ｗ×5</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20Ｗ×6</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40Ｗ×6</w:t>
            </w:r>
          </w:p>
        </w:tc>
        <w:tc>
          <w:tcPr>
            <w:tcBorders>
              <w:left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0.670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2" w:hRule="exact"/>
        </w:trPr>
        <w:tc>
          <w:tcPr>
            <w:tcBorders>
              <w:bottom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110Ｗ×6</w:t>
            </w: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r>
    </w:tbl>
    <w:p>
      <w:pPr>
        <w:framePr w:w="9672" w:h="7406" w:wrap="none" w:hAnchor="page" w:x="1108" w:y="534"/>
        <w:widowControl w:val="0"/>
        <w:spacing w:line="1" w:lineRule="exact"/>
      </w:pPr>
    </w:p>
    <w:p>
      <w:pPr>
        <w:pStyle w:val="Style7"/>
        <w:keepNext/>
        <w:keepLines/>
        <w:framePr w:w="9456" w:h="3101" w:wrap="none" w:hAnchor="page" w:x="1141" w:y="7931"/>
        <w:widowControl w:val="0"/>
        <w:shd w:val="clear" w:color="auto" w:fill="auto"/>
        <w:bidi w:val="0"/>
        <w:spacing w:before="0" w:after="60" w:line="240" w:lineRule="auto"/>
        <w:ind w:left="0" w:right="0" w:firstLine="0"/>
        <w:jc w:val="left"/>
      </w:pPr>
      <w:bookmarkStart w:id="0" w:name="bookmark0"/>
      <w:r>
        <w:rPr>
          <w:rFonts w:ascii="MS Mincho" w:eastAsia="MS Mincho" w:hAnsi="MS Mincho" w:cs="MS Mincho"/>
          <w:color w:val="000000"/>
          <w:spacing w:val="0"/>
          <w:w w:val="100"/>
          <w:position w:val="0"/>
          <w:shd w:val="clear" w:color="auto" w:fill="auto"/>
        </w:rPr>
        <w:t>(注)1.半埋込器具にも適用する。</w:t>
      </w:r>
      <w:bookmarkEnd w:id="0"/>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2.埋込器具の補強材等の取付けは含まない。</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3.連結器具については、連結数倍とする。</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4.蛍光灯器具に白熱灯が内蔵された照明器具であって、白熱灯用として専用の電源が供給さ</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5.照明制御器を内蔵した照明器具及び別に設置された照明制御器等からの信号により制御さ</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6.インサート、つりボルト等の取付けを含む。</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7.システム天井用器具は、電工の歩掛りを0.6倍して用い、雑材料は算出しない。</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8.環形蛍光灯器具の場合にも用いる。</w:t>
      </w:r>
    </w:p>
    <w:p>
      <w:pPr>
        <w:pStyle w:val="Style10"/>
        <w:keepNext w:val="0"/>
        <w:keepLines w:val="0"/>
        <w:framePr w:w="9456" w:h="3101" w:wrap="none" w:hAnchor="page" w:x="1141" w:y="793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9.「その他」の率対象は、電工とする。</w:t>
      </w:r>
    </w:p>
    <w:p>
      <w:pPr>
        <w:pStyle w:val="Style10"/>
        <w:keepNext w:val="0"/>
        <w:keepLines w:val="0"/>
        <w:framePr w:w="710" w:h="274" w:wrap="none" w:hAnchor="page" w:x="5538"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-RE14-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pPr>
    </w:p>
    <w:sectPr>
      <w:footnotePr>
        <w:pos w:val="pageBottom"/>
        <w:numFmt w:val="decimal"/>
        <w:numRestart w:val="continuous"/>
      </w:footnotePr>
      <w:pgSz w:w="11900" w:h="16840"/>
      <w:pgMar w:top="1153" w:left="1107" w:right="1121" w:bottom="780" w:header="725" w:footer="35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テーブルのキャプション|1_"/>
    <w:basedOn w:val="DefaultParagraphFont"/>
    <w:link w:val="Style2"/>
    <w:rPr>
      <w:rFonts w:ascii="MS Mincho" w:eastAsia="MS Mincho" w:hAnsi="MS Mincho" w:cs="MS Mincho"/>
      <w:b/>
      <w:bCs/>
      <w:i w:val="0"/>
      <w:iCs w:val="0"/>
      <w:smallCaps w:val="0"/>
      <w:strike w:val="0"/>
      <w:sz w:val="20"/>
      <w:szCs w:val="20"/>
      <w:u w:val="none"/>
    </w:rPr>
  </w:style>
  <w:style w:type="character" w:customStyle="1" w:styleId="CharStyle6">
    <w:name w:val="その他|1_"/>
    <w:basedOn w:val="DefaultParagraphFont"/>
    <w:link w:val="Style5"/>
    <w:rPr>
      <w:rFonts w:ascii="MS Mincho" w:eastAsia="MS Mincho" w:hAnsi="MS Mincho" w:cs="MS Mincho"/>
      <w:b w:val="0"/>
      <w:bCs w:val="0"/>
      <w:i w:val="0"/>
      <w:iCs w:val="0"/>
      <w:smallCaps w:val="0"/>
      <w:strike w:val="0"/>
      <w:sz w:val="20"/>
      <w:szCs w:val="20"/>
      <w:u w:val="none"/>
    </w:rPr>
  </w:style>
  <w:style w:type="character" w:customStyle="1" w:styleId="CharStyle8">
    <w:name w:val="見出し #1|1_"/>
    <w:basedOn w:val="DefaultParagraphFont"/>
    <w:link w:val="Style7"/>
    <w:rPr>
      <w:b w:val="0"/>
      <w:bCs w:val="0"/>
      <w:i w:val="0"/>
      <w:iCs w:val="0"/>
      <w:smallCaps w:val="0"/>
      <w:strike w:val="0"/>
      <w:sz w:val="20"/>
      <w:szCs w:val="20"/>
      <w:u w:val="none"/>
      <w:lang w:val="ja-JP" w:eastAsia="ja-JP" w:bidi="ja-JP"/>
    </w:rPr>
  </w:style>
  <w:style w:type="character" w:customStyle="1" w:styleId="CharStyle11">
    <w:name w:val="本文|1_"/>
    <w:basedOn w:val="DefaultParagraphFont"/>
    <w:link w:val="Style10"/>
    <w:rPr>
      <w:rFonts w:ascii="MS Mincho" w:eastAsia="MS Mincho" w:hAnsi="MS Mincho" w:cs="MS Mincho"/>
      <w:b w:val="0"/>
      <w:bCs w:val="0"/>
      <w:i w:val="0"/>
      <w:iCs w:val="0"/>
      <w:smallCaps w:val="0"/>
      <w:strike w:val="0"/>
      <w:sz w:val="20"/>
      <w:szCs w:val="20"/>
      <w:u w:val="none"/>
    </w:rPr>
  </w:style>
  <w:style w:type="paragraph" w:customStyle="1" w:styleId="Style2">
    <w:name w:val="テーブルのキャプション|1"/>
    <w:basedOn w:val="Normal"/>
    <w:link w:val="CharStyle3"/>
    <w:pPr>
      <w:widowControl w:val="0"/>
      <w:shd w:val="clear" w:color="auto" w:fill="FFFFFF"/>
    </w:pPr>
    <w:rPr>
      <w:rFonts w:ascii="MS Mincho" w:eastAsia="MS Mincho" w:hAnsi="MS Mincho" w:cs="MS Mincho"/>
      <w:b/>
      <w:bCs/>
      <w:i w:val="0"/>
      <w:iCs w:val="0"/>
      <w:smallCaps w:val="0"/>
      <w:strike w:val="0"/>
      <w:sz w:val="20"/>
      <w:szCs w:val="20"/>
      <w:u w:val="none"/>
    </w:rPr>
  </w:style>
  <w:style w:type="paragraph" w:customStyle="1" w:styleId="Style5">
    <w:name w:val="その他|1"/>
    <w:basedOn w:val="Normal"/>
    <w:link w:val="CharStyle6"/>
    <w:pPr>
      <w:widowControl w:val="0"/>
      <w:shd w:val="clear" w:color="auto" w:fill="FFFFFF"/>
    </w:pPr>
    <w:rPr>
      <w:rFonts w:ascii="MS Mincho" w:eastAsia="MS Mincho" w:hAnsi="MS Mincho" w:cs="MS Mincho"/>
      <w:b w:val="0"/>
      <w:bCs w:val="0"/>
      <w:i w:val="0"/>
      <w:iCs w:val="0"/>
      <w:smallCaps w:val="0"/>
      <w:strike w:val="0"/>
      <w:sz w:val="20"/>
      <w:szCs w:val="20"/>
      <w:u w:val="none"/>
    </w:rPr>
  </w:style>
  <w:style w:type="paragraph" w:customStyle="1" w:styleId="Style7">
    <w:name w:val="見出し #1|1"/>
    <w:basedOn w:val="Normal"/>
    <w:link w:val="CharStyle8"/>
    <w:pPr>
      <w:widowControl w:val="0"/>
      <w:shd w:val="clear" w:color="auto" w:fill="FFFFFF"/>
      <w:outlineLvl w:val="0"/>
    </w:pPr>
    <w:rPr>
      <w:b w:val="0"/>
      <w:bCs w:val="0"/>
      <w:i w:val="0"/>
      <w:iCs w:val="0"/>
      <w:smallCaps w:val="0"/>
      <w:strike w:val="0"/>
      <w:sz w:val="20"/>
      <w:szCs w:val="20"/>
      <w:u w:val="none"/>
      <w:lang w:val="ja-JP" w:eastAsia="ja-JP" w:bidi="ja-JP"/>
    </w:rPr>
  </w:style>
  <w:style w:type="paragraph" w:customStyle="1" w:styleId="Style10">
    <w:name w:val="本文|1"/>
    <w:basedOn w:val="Normal"/>
    <w:link w:val="CharStyle11"/>
    <w:pPr>
      <w:widowControl w:val="0"/>
      <w:shd w:val="clear" w:color="auto" w:fill="FFFFFF"/>
      <w:spacing w:after="60"/>
    </w:pPr>
    <w:rPr>
      <w:rFonts w:ascii="MS Mincho" w:eastAsia="MS Mincho" w:hAnsi="MS Mincho" w:cs="MS Mincho"/>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