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60" w:line="240" w:lineRule="auto"/>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5890260</wp:posOffset>
                </wp:positionH>
                <wp:positionV relativeFrom="paragraph">
                  <wp:posOffset>12700</wp:posOffset>
                </wp:positionV>
                <wp:extent cx="597535" cy="140335"/>
                <wp:wrapSquare wrapText="left"/>
                <wp:docPr id="1" name="Shape 1"/>
                <a:graphic xmlns:a="http://schemas.openxmlformats.org/drawingml/2006/main">
                  <a:graphicData uri="http://schemas.microsoft.com/office/word/2010/wordprocessingShape">
                    <wps:wsp>
                      <wps:cNvSpPr txBox="1"/>
                      <wps:spPr>
                        <a:xfrm>
                          <a:ext cx="597535" cy="1403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台当たり)</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63.80000000000001pt;margin-top:1.pt;width:47.049999999999997pt;height:11.05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台当たり)</w:t>
                      </w:r>
                    </w:p>
                  </w:txbxContent>
                </v:textbox>
                <w10:wrap type="square" side="left" anchorx="page"/>
              </v:shape>
            </w:pict>
          </mc:Fallback>
        </mc:AlternateContent>
      </w:r>
      <w:r>
        <w:rPr>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2 -37- 6 </w:t>
      </w:r>
      <w:r>
        <w:rPr>
          <w:color w:val="000000"/>
          <w:spacing w:val="0"/>
          <w:w w:val="100"/>
          <w:position w:val="0"/>
          <w:shd w:val="clear" w:color="auto" w:fill="auto"/>
          <w:lang w:val="en-US" w:eastAsia="en-US" w:bidi="en-US"/>
        </w:rPr>
        <w:t xml:space="preserve">ダンプトラック運搬日数(Ｄ) </w:t>
      </w:r>
      <w:r>
        <w:rPr>
          <w:color w:val="000000"/>
          <w:spacing w:val="0"/>
          <w:w w:val="100"/>
          <w:position w:val="0"/>
          <w:shd w:val="clear" w:color="auto" w:fill="auto"/>
          <w:lang w:val="ja-JP" w:eastAsia="ja-JP" w:bidi="ja-JP"/>
        </w:rPr>
        <w:t>【専】</w:t>
      </w:r>
    </w:p>
    <w:tbl>
      <w:tblPr>
        <w:tblOverlap w:val="never"/>
        <w:jc w:val="center"/>
        <w:tblLayout w:type="fixed"/>
      </w:tblPr>
      <w:tblGrid>
        <w:gridCol w:w="739"/>
        <w:gridCol w:w="418"/>
        <w:gridCol w:w="422"/>
        <w:gridCol w:w="418"/>
        <w:gridCol w:w="422"/>
        <w:gridCol w:w="418"/>
        <w:gridCol w:w="422"/>
        <w:gridCol w:w="418"/>
        <w:gridCol w:w="422"/>
        <w:gridCol w:w="422"/>
        <w:gridCol w:w="418"/>
        <w:gridCol w:w="422"/>
        <w:gridCol w:w="418"/>
        <w:gridCol w:w="422"/>
        <w:gridCol w:w="418"/>
        <w:gridCol w:w="1690"/>
      </w:tblGrid>
      <w:tr>
        <w:trPr>
          <w:trHeight w:val="33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積込機械</w:t>
            </w:r>
          </w:p>
        </w:tc>
        <w:tc>
          <w:tcPr>
            <w:gridSpan w:val="15"/>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4"/>
                <w:szCs w:val="14"/>
                <w:shd w:val="clear" w:color="auto" w:fill="auto"/>
                <w:lang w:val="ja-JP" w:eastAsia="ja-JP" w:bidi="ja-JP"/>
              </w:rPr>
              <w:t xml:space="preserve">バックホウ 排出ガス対策型 </w:t>
            </w:r>
            <w:r>
              <w:rPr>
                <w:color w:val="000000"/>
                <w:spacing w:val="0"/>
                <w:w w:val="100"/>
                <w:position w:val="0"/>
                <w:sz w:val="14"/>
                <w:szCs w:val="14"/>
                <w:shd w:val="clear" w:color="auto" w:fill="auto"/>
                <w:lang w:val="en-US" w:eastAsia="en-US" w:bidi="en-US"/>
              </w:rPr>
              <w:t>油圧式クローラ型0.13ｍ</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r>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運搬機種</w:t>
            </w:r>
          </w:p>
        </w:tc>
        <w:tc>
          <w:tcPr>
            <w:gridSpan w:val="15"/>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ダンプトラック </w:t>
            </w:r>
            <w:r>
              <w:rPr>
                <w:color w:val="000000"/>
                <w:spacing w:val="0"/>
                <w:w w:val="100"/>
                <w:position w:val="0"/>
                <w:shd w:val="clear" w:color="auto" w:fill="auto"/>
                <w:lang w:val="en-US" w:eastAsia="en-US" w:bidi="en-US"/>
              </w:rPr>
              <w:t>2t積級</w:t>
            </w:r>
          </w:p>
        </w:tc>
      </w:tr>
      <w:tr>
        <w:trPr>
          <w:trHeight w:val="336" w:hRule="exact"/>
        </w:trPr>
        <w:tc>
          <w:tcPr>
            <w:gridSpan w:val="16"/>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ＤＩＤ区間：無し</w:t>
            </w:r>
          </w:p>
        </w:tc>
      </w:tr>
      <w:tr>
        <w:trPr>
          <w:trHeight w:val="6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ja-JP" w:eastAsia="ja-JP" w:bidi="ja-JP"/>
              </w:rPr>
              <w:t>運搬距離</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(km)</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0.3</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1.0</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1.5</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2.5</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3.0</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3.5</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4.5</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5.5</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7.0</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9.0</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12.0</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17.0</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28.5</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60.0</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運搬日数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16"/>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ＤＩＤ区間：有り</w:t>
            </w:r>
          </w:p>
        </w:tc>
      </w:tr>
      <w:tr>
        <w:trPr>
          <w:trHeight w:val="6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ja-JP" w:eastAsia="ja-JP" w:bidi="ja-JP"/>
              </w:rPr>
              <w:t>運搬距離</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(km)</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0.3</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1.0</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1.5</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2.5</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3.0</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3.5</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4.5</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5.0</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6.5</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8.0</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11.0</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15.0</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24.0</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60.0</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運搬日数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0.048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0.053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0.067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0.077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0.091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0.111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0.125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0.143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0.167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0.250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0.333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2 -37- 7 </w:t>
      </w:r>
      <w:r>
        <w:rPr>
          <w:color w:val="000000"/>
          <w:spacing w:val="0"/>
          <w:w w:val="100"/>
          <w:position w:val="0"/>
          <w:shd w:val="clear" w:color="auto" w:fill="auto"/>
          <w:lang w:val="en-US" w:eastAsia="en-US" w:bidi="en-US"/>
        </w:rPr>
        <w:t xml:space="preserve">ダンプトラック運搬日数(Ｄ) </w:t>
      </w:r>
      <w:r>
        <w:rPr>
          <w:color w:val="000000"/>
          <w:spacing w:val="0"/>
          <w:w w:val="100"/>
          <w:position w:val="0"/>
          <w:shd w:val="clear" w:color="auto" w:fill="auto"/>
          <w:lang w:val="ja-JP" w:eastAsia="ja-JP" w:bidi="ja-JP"/>
        </w:rPr>
        <w:t xml:space="preserve">【専】 </w:t>
      </w: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台当たり)</w:t>
      </w:r>
    </w:p>
    <w:tbl>
      <w:tblPr>
        <w:tblOverlap w:val="never"/>
        <w:jc w:val="center"/>
        <w:tblLayout w:type="fixed"/>
      </w:tblPr>
      <w:tblGrid>
        <w:gridCol w:w="739"/>
        <w:gridCol w:w="418"/>
        <w:gridCol w:w="422"/>
        <w:gridCol w:w="418"/>
        <w:gridCol w:w="422"/>
        <w:gridCol w:w="418"/>
        <w:gridCol w:w="422"/>
        <w:gridCol w:w="418"/>
        <w:gridCol w:w="422"/>
        <w:gridCol w:w="422"/>
        <w:gridCol w:w="418"/>
        <w:gridCol w:w="422"/>
        <w:gridCol w:w="418"/>
        <w:gridCol w:w="422"/>
        <w:gridCol w:w="418"/>
        <w:gridCol w:w="1690"/>
      </w:tblGrid>
      <w:tr>
        <w:trPr>
          <w:trHeight w:val="34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積込機械</w:t>
            </w:r>
          </w:p>
        </w:tc>
        <w:tc>
          <w:tcPr>
            <w:gridSpan w:val="15"/>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人力</w:t>
            </w:r>
          </w:p>
        </w:tc>
      </w:tr>
      <w:tr>
        <w:trPr>
          <w:trHeight w:val="33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運搬機種</w:t>
            </w:r>
          </w:p>
        </w:tc>
        <w:tc>
          <w:tcPr>
            <w:gridSpan w:val="15"/>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ダンプトラック </w:t>
            </w:r>
            <w:r>
              <w:rPr>
                <w:color w:val="000000"/>
                <w:spacing w:val="0"/>
                <w:w w:val="100"/>
                <w:position w:val="0"/>
                <w:shd w:val="clear" w:color="auto" w:fill="auto"/>
                <w:lang w:val="en-US" w:eastAsia="en-US" w:bidi="en-US"/>
              </w:rPr>
              <w:t>2t積級</w:t>
            </w:r>
          </w:p>
        </w:tc>
      </w:tr>
      <w:tr>
        <w:trPr>
          <w:trHeight w:val="341" w:hRule="exact"/>
        </w:trPr>
        <w:tc>
          <w:tcPr>
            <w:gridSpan w:val="16"/>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ＤＩＤ区間：無し</w:t>
            </w:r>
          </w:p>
        </w:tc>
      </w:tr>
      <w:tr>
        <w:trPr>
          <w:trHeight w:val="31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運搬距離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(km)</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運搬日数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16"/>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ＤＩＤ区間：有り</w:t>
            </w:r>
          </w:p>
        </w:tc>
      </w:tr>
      <w:tr>
        <w:trPr>
          <w:trHeight w:val="3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運搬距離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(km)</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運搬日数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0.053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0.059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0.067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0.077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0.091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0.111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0.125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0.143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0.167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0.250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0.333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9"/>
        <w:keepNext/>
        <w:keepLines/>
        <w:widowControl w:val="0"/>
        <w:shd w:val="clear" w:color="auto" w:fill="auto"/>
        <w:bidi w:val="0"/>
        <w:spacing w:before="0" w:after="140" w:line="240" w:lineRule="auto"/>
        <w:ind w:left="0" w:right="0" w:firstLine="0"/>
        <w:jc w:val="left"/>
        <w:rPr>
          <w:sz w:val="16"/>
          <w:szCs w:val="16"/>
        </w:rPr>
      </w:pPr>
      <w:bookmarkStart w:id="0" w:name="bookmark0"/>
      <w:r>
        <w:rPr>
          <w:rFonts w:ascii="MS Mincho" w:eastAsia="MS Mincho" w:hAnsi="MS Mincho" w:cs="MS Mincho"/>
          <w:color w:val="000000"/>
          <w:spacing w:val="0"/>
          <w:w w:val="100"/>
          <w:position w:val="0"/>
          <w:sz w:val="16"/>
          <w:szCs w:val="16"/>
          <w:shd w:val="clear" w:color="auto" w:fill="auto"/>
        </w:rPr>
        <w:t xml:space="preserve">(注)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MS Mincho" w:eastAsia="MS Mincho" w:hAnsi="MS Mincho" w:cs="MS Mincho"/>
          <w:color w:val="000000"/>
          <w:spacing w:val="0"/>
          <w:w w:val="100"/>
          <w:position w:val="0"/>
          <w:sz w:val="16"/>
          <w:szCs w:val="16"/>
          <w:shd w:val="clear" w:color="auto" w:fill="auto"/>
        </w:rPr>
        <w:t>上記表は、ダンプトラック</w:t>
      </w:r>
      <w:r>
        <w:rPr>
          <w:rFonts w:ascii="Times New Roman" w:eastAsia="Times New Roman" w:hAnsi="Times New Roman" w:cs="Times New Roman"/>
          <w:color w:val="000000"/>
          <w:spacing w:val="0"/>
          <w:w w:val="100"/>
          <w:position w:val="0"/>
          <w:sz w:val="16"/>
          <w:szCs w:val="16"/>
          <w:shd w:val="clear" w:color="auto" w:fill="auto"/>
        </w:rPr>
        <w:t>1</w:t>
      </w:r>
      <w:r>
        <w:rPr>
          <w:rFonts w:ascii="MS Mincho" w:eastAsia="MS Mincho" w:hAnsi="MS Mincho" w:cs="MS Mincho"/>
          <w:color w:val="000000"/>
          <w:spacing w:val="0"/>
          <w:w w:val="100"/>
          <w:position w:val="0"/>
          <w:sz w:val="16"/>
          <w:szCs w:val="16"/>
          <w:shd w:val="clear" w:color="auto" w:fill="auto"/>
        </w:rPr>
        <w:t>台当たりの運搬日数である。</w:t>
      </w:r>
      <w:bookmarkEnd w:id="0"/>
    </w:p>
    <w:p>
      <w:pPr>
        <w:pStyle w:val="Style2"/>
        <w:keepNext w:val="0"/>
        <w:keepLines w:val="0"/>
        <w:widowControl w:val="0"/>
        <w:numPr>
          <w:ilvl w:val="0"/>
          <w:numId w:val="1"/>
        </w:numPr>
        <w:shd w:val="clear" w:color="auto" w:fill="auto"/>
        <w:tabs>
          <w:tab w:pos="778" w:val="left"/>
        </w:tabs>
        <w:bidi w:val="0"/>
        <w:spacing w:before="0" w:line="240" w:lineRule="auto"/>
        <w:ind w:left="420" w:right="0" w:firstLine="0"/>
        <w:jc w:val="left"/>
      </w:pPr>
      <w:r>
        <w:rPr>
          <w:color w:val="000000"/>
          <w:spacing w:val="0"/>
          <w:w w:val="100"/>
          <w:position w:val="0"/>
          <w:shd w:val="clear" w:color="auto" w:fill="auto"/>
          <w:lang w:val="ja-JP" w:eastAsia="ja-JP" w:bidi="ja-JP"/>
        </w:rPr>
        <w:t>運搬距離は片道距離であり、往路と復路が異なる時は、平均値とする。</w:t>
      </w:r>
    </w:p>
    <w:p>
      <w:pPr>
        <w:pStyle w:val="Style2"/>
        <w:keepNext w:val="0"/>
        <w:keepLines w:val="0"/>
        <w:widowControl w:val="0"/>
        <w:numPr>
          <w:ilvl w:val="0"/>
          <w:numId w:val="1"/>
        </w:numPr>
        <w:shd w:val="clear" w:color="auto" w:fill="auto"/>
        <w:tabs>
          <w:tab w:pos="778" w:val="left"/>
        </w:tabs>
        <w:bidi w:val="0"/>
        <w:spacing w:before="0" w:line="240" w:lineRule="auto"/>
        <w:ind w:left="420" w:right="0" w:firstLine="0"/>
        <w:jc w:val="left"/>
      </w:pPr>
      <w:r>
        <w:rPr>
          <w:color w:val="000000"/>
          <w:spacing w:val="0"/>
          <w:w w:val="100"/>
          <w:position w:val="0"/>
          <w:shd w:val="clear" w:color="auto" w:fill="auto"/>
          <w:lang w:val="ja-JP" w:eastAsia="ja-JP" w:bidi="ja-JP"/>
        </w:rPr>
        <w:t>有料道路を利用する場合には、別途考慮する。</w:t>
      </w:r>
    </w:p>
    <w:p>
      <w:pPr>
        <w:pStyle w:val="Style2"/>
        <w:keepNext w:val="0"/>
        <w:keepLines w:val="0"/>
        <w:widowControl w:val="0"/>
        <w:numPr>
          <w:ilvl w:val="0"/>
          <w:numId w:val="1"/>
        </w:numPr>
        <w:shd w:val="clear" w:color="auto" w:fill="auto"/>
        <w:tabs>
          <w:tab w:pos="778" w:val="left"/>
        </w:tabs>
        <w:bidi w:val="0"/>
        <w:spacing w:before="0" w:line="240" w:lineRule="auto"/>
        <w:ind w:left="420" w:right="0" w:firstLine="0"/>
        <w:jc w:val="left"/>
      </w:pPr>
      <w:r>
        <w:rPr>
          <w:color w:val="000000"/>
          <w:spacing w:val="0"/>
          <w:w w:val="100"/>
          <w:position w:val="0"/>
          <w:shd w:val="clear" w:color="auto" w:fill="auto"/>
          <w:lang w:val="en-US" w:eastAsia="en-US" w:bidi="en-US"/>
        </w:rPr>
        <w:t>ＤＩＤ(人口集中地区)は、総務省統計局の国勢調査報告資料添付の人口集中地区境界図によるものとする。</w:t>
      </w:r>
    </w:p>
    <w:p>
      <w:pPr>
        <w:pStyle w:val="Style2"/>
        <w:keepNext w:val="0"/>
        <w:keepLines w:val="0"/>
        <w:widowControl w:val="0"/>
        <w:numPr>
          <w:ilvl w:val="0"/>
          <w:numId w:val="1"/>
        </w:numPr>
        <w:shd w:val="clear" w:color="auto" w:fill="auto"/>
        <w:tabs>
          <w:tab w:pos="778" w:val="left"/>
        </w:tabs>
        <w:bidi w:val="0"/>
        <w:spacing w:before="0" w:after="5140" w:line="240" w:lineRule="auto"/>
        <w:ind w:left="420" w:right="0" w:firstLine="0"/>
        <w:jc w:val="left"/>
      </w:pPr>
      <w:r>
        <w:rPr>
          <w:color w:val="000000"/>
          <w:spacing w:val="0"/>
          <w:w w:val="100"/>
          <w:position w:val="0"/>
          <w:shd w:val="clear" w:color="auto" w:fill="auto"/>
          <w:lang w:val="en-US" w:eastAsia="en-US" w:bidi="en-US"/>
        </w:rPr>
        <w:t>運搬距離が、</w:t>
      </w:r>
      <w:r>
        <w:rPr>
          <w:rFonts w:ascii="Times New Roman" w:eastAsia="Times New Roman" w:hAnsi="Times New Roman" w:cs="Times New Roman"/>
          <w:color w:val="000000"/>
          <w:spacing w:val="0"/>
          <w:w w:val="100"/>
          <w:position w:val="0"/>
          <w:shd w:val="clear" w:color="auto" w:fill="auto"/>
          <w:lang w:val="en-US" w:eastAsia="en-US" w:bidi="en-US"/>
        </w:rPr>
        <w:t>60km</w:t>
      </w:r>
      <w:r>
        <w:rPr>
          <w:color w:val="000000"/>
          <w:spacing w:val="0"/>
          <w:w w:val="100"/>
          <w:position w:val="0"/>
          <w:shd w:val="clear" w:color="auto" w:fill="auto"/>
          <w:lang w:val="en-US" w:eastAsia="en-US" w:bidi="en-US"/>
        </w:rPr>
        <w:t>を超える場合は、別途積上げとする。</w:t>
      </w:r>
    </w:p>
    <w:p>
      <w:pPr>
        <w:pStyle w:val="Style13"/>
        <w:keepNext/>
        <w:keepLines/>
        <w:widowControl w:val="0"/>
        <w:shd w:val="clear" w:color="auto" w:fill="auto"/>
        <w:bidi w:val="0"/>
        <w:spacing w:before="0" w:line="240" w:lineRule="auto"/>
        <w:ind w:left="0" w:firstLine="0"/>
        <w:jc w:val="center"/>
      </w:pPr>
      <w:bookmarkStart w:id="1" w:name="bookmark1"/>
      <w:r>
        <w:rPr>
          <w:rFonts w:ascii="Times New Roman" w:eastAsia="Times New Roman" w:hAnsi="Times New Roman" w:cs="Times New Roman"/>
          <w:color w:val="000000"/>
          <w:spacing w:val="0"/>
          <w:w w:val="100"/>
          <w:position w:val="0"/>
          <w:shd w:val="clear" w:color="auto" w:fill="auto"/>
          <w:lang w:val="en-US" w:eastAsia="en-US" w:bidi="en-US"/>
        </w:rPr>
        <w:t>- RA 14 -</w:t>
      </w:r>
      <w:bookmarkEnd w:id="1"/>
    </w:p>
    <w:sectPr>
      <w:footnotePr>
        <w:pos w:val="pageBottom"/>
        <w:numFmt w:val="decimal"/>
        <w:numRestart w:val="continuous"/>
      </w:footnotePr>
      <w:pgSz w:w="11900" w:h="16840"/>
      <w:pgMar w:top="1753" w:left="1836" w:right="1524" w:bottom="243" w:header="1325" w:footer="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本文|1_"/>
    <w:basedOn w:val="DefaultParagraphFont"/>
    <w:link w:val="Style2"/>
    <w:rPr>
      <w:rFonts w:ascii="MS Mincho" w:eastAsia="MS Mincho" w:hAnsi="MS Mincho" w:cs="MS Mincho"/>
      <w:b w:val="0"/>
      <w:bCs w:val="0"/>
      <w:i w:val="0"/>
      <w:iCs w:val="0"/>
      <w:smallCaps w:val="0"/>
      <w:strike w:val="0"/>
      <w:sz w:val="16"/>
      <w:szCs w:val="16"/>
      <w:u w:val="none"/>
    </w:rPr>
  </w:style>
  <w:style w:type="character" w:customStyle="1" w:styleId="CharStyle6">
    <w:name w:val="その他|1_"/>
    <w:basedOn w:val="DefaultParagraphFont"/>
    <w:link w:val="Style5"/>
    <w:rPr>
      <w:rFonts w:ascii="MS Mincho" w:eastAsia="MS Mincho" w:hAnsi="MS Mincho" w:cs="MS Mincho"/>
      <w:b w:val="0"/>
      <w:bCs w:val="0"/>
      <w:i w:val="0"/>
      <w:iCs w:val="0"/>
      <w:smallCaps w:val="0"/>
      <w:strike w:val="0"/>
      <w:sz w:val="14"/>
      <w:szCs w:val="14"/>
      <w:u w:val="none"/>
    </w:rPr>
  </w:style>
  <w:style w:type="character" w:customStyle="1" w:styleId="CharStyle10">
    <w:name w:val="見出し #2|1_"/>
    <w:basedOn w:val="DefaultParagraphFont"/>
    <w:link w:val="Style9"/>
    <w:rPr>
      <w:b w:val="0"/>
      <w:bCs w:val="0"/>
      <w:i w:val="0"/>
      <w:iCs w:val="0"/>
      <w:smallCaps w:val="0"/>
      <w:strike w:val="0"/>
      <w:sz w:val="20"/>
      <w:szCs w:val="20"/>
      <w:u w:val="none"/>
      <w:lang w:val="ja-JP" w:eastAsia="ja-JP" w:bidi="ja-JP"/>
    </w:rPr>
  </w:style>
  <w:style w:type="character" w:customStyle="1" w:styleId="CharStyle14">
    <w:name w:val="見出し #1|1_"/>
    <w:basedOn w:val="DefaultParagraphFont"/>
    <w:link w:val="Style13"/>
    <w:rPr>
      <w:b w:val="0"/>
      <w:bCs w:val="0"/>
      <w:i w:val="0"/>
      <w:iCs w:val="0"/>
      <w:smallCaps w:val="0"/>
      <w:strike w:val="0"/>
      <w:sz w:val="20"/>
      <w:szCs w:val="20"/>
      <w:u w:val="none"/>
    </w:rPr>
  </w:style>
  <w:style w:type="paragraph" w:customStyle="1" w:styleId="Style2">
    <w:name w:val="本文|1"/>
    <w:basedOn w:val="Normal"/>
    <w:link w:val="CharStyle3"/>
    <w:pPr>
      <w:widowControl w:val="0"/>
      <w:shd w:val="clear" w:color="auto" w:fill="FFFFFF"/>
      <w:spacing w:after="140"/>
    </w:pPr>
    <w:rPr>
      <w:rFonts w:ascii="MS Mincho" w:eastAsia="MS Mincho" w:hAnsi="MS Mincho" w:cs="MS Mincho"/>
      <w:b w:val="0"/>
      <w:bCs w:val="0"/>
      <w:i w:val="0"/>
      <w:iCs w:val="0"/>
      <w:smallCaps w:val="0"/>
      <w:strike w:val="0"/>
      <w:sz w:val="16"/>
      <w:szCs w:val="16"/>
      <w:u w:val="none"/>
    </w:rPr>
  </w:style>
  <w:style w:type="paragraph" w:customStyle="1" w:styleId="Style5">
    <w:name w:val="その他|1"/>
    <w:basedOn w:val="Normal"/>
    <w:link w:val="CharStyle6"/>
    <w:pPr>
      <w:widowControl w:val="0"/>
      <w:shd w:val="clear" w:color="auto" w:fill="FFFFFF"/>
    </w:pPr>
    <w:rPr>
      <w:rFonts w:ascii="MS Mincho" w:eastAsia="MS Mincho" w:hAnsi="MS Mincho" w:cs="MS Mincho"/>
      <w:b w:val="0"/>
      <w:bCs w:val="0"/>
      <w:i w:val="0"/>
      <w:iCs w:val="0"/>
      <w:smallCaps w:val="0"/>
      <w:strike w:val="0"/>
      <w:sz w:val="14"/>
      <w:szCs w:val="14"/>
      <w:u w:val="none"/>
    </w:rPr>
  </w:style>
  <w:style w:type="paragraph" w:customStyle="1" w:styleId="Style9">
    <w:name w:val="見出し #2|1"/>
    <w:basedOn w:val="Normal"/>
    <w:link w:val="CharStyle10"/>
    <w:pPr>
      <w:widowControl w:val="0"/>
      <w:shd w:val="clear" w:color="auto" w:fill="FFFFFF"/>
      <w:outlineLvl w:val="1"/>
    </w:pPr>
    <w:rPr>
      <w:b w:val="0"/>
      <w:bCs w:val="0"/>
      <w:i w:val="0"/>
      <w:iCs w:val="0"/>
      <w:smallCaps w:val="0"/>
      <w:strike w:val="0"/>
      <w:sz w:val="20"/>
      <w:szCs w:val="20"/>
      <w:u w:val="none"/>
      <w:lang w:val="ja-JP" w:eastAsia="ja-JP" w:bidi="ja-JP"/>
    </w:rPr>
  </w:style>
  <w:style w:type="paragraph" w:customStyle="1" w:styleId="Style13">
    <w:name w:val="見出し #1|1"/>
    <w:basedOn w:val="Normal"/>
    <w:link w:val="CharStyle14"/>
    <w:pPr>
      <w:widowControl w:val="0"/>
      <w:shd w:val="clear" w:color="auto" w:fill="FFFFFF"/>
      <w:spacing w:after="140"/>
      <w:ind w:right="140"/>
      <w:jc w:val="center"/>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