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 xml:space="preserve">第１編 </w:t>
      </w:r>
      <w:r>
        <w:rPr>
          <w:color w:val="000000"/>
          <w:spacing w:val="0"/>
          <w:w w:val="100"/>
          <w:position w:val="0"/>
          <w:shd w:val="clear" w:color="auto" w:fill="auto"/>
          <w:lang w:val="ja-JP" w:eastAsia="ja-JP" w:bidi="ja-JP"/>
        </w:rPr>
        <w:t>総 則</w:t>
      </w:r>
      <w:bookmarkEnd w:id="0"/>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基本的事項</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公共建築工事積算研究会参考歩掛りは、「公共建築工事標準単価積算基準」に定める</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歩掛り等以外で、同研究会により特に必要と認められた歩掛り等をまとめたものであり、</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市場単価にない類似の単価等の作成のための検討資料である。なお、本参考歩掛りは、</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「公共建築工事積算研究会」において保管する。また、本編に記載無き事項は、「公共</w:t>
      </w:r>
    </w:p>
    <w:p>
      <w:pPr>
        <w:pStyle w:val="Style4"/>
        <w:keepNext w:val="0"/>
        <w:keepLines w:val="0"/>
        <w:widowControl w:val="0"/>
        <w:shd w:val="clear" w:color="auto" w:fill="auto"/>
        <w:bidi w:val="0"/>
        <w:spacing w:before="0" w:after="440" w:line="240" w:lineRule="auto"/>
        <w:ind w:left="220" w:right="0" w:firstLine="0"/>
        <w:jc w:val="left"/>
      </w:pPr>
      <w:r>
        <w:rPr>
          <w:color w:val="000000"/>
          <w:spacing w:val="0"/>
          <w:w w:val="100"/>
          <w:position w:val="0"/>
          <w:shd w:val="clear" w:color="auto" w:fill="auto"/>
          <w:lang w:val="ja-JP" w:eastAsia="ja-JP" w:bidi="ja-JP"/>
        </w:rPr>
        <w:t xml:space="preserve">建築工事標準単価積算基準の第 </w:t>
      </w:r>
      <w:r>
        <w:rPr>
          <w:color w:val="000000"/>
          <w:spacing w:val="0"/>
          <w:w w:val="100"/>
          <w:position w:val="0"/>
          <w:shd w:val="clear" w:color="auto" w:fill="auto"/>
          <w:lang w:val="en-US" w:eastAsia="en-US" w:bidi="en-US"/>
        </w:rPr>
        <w:t xml:space="preserve">１編 </w:t>
      </w:r>
      <w:r>
        <w:rPr>
          <w:color w:val="000000"/>
          <w:spacing w:val="0"/>
          <w:w w:val="100"/>
          <w:position w:val="0"/>
          <w:shd w:val="clear" w:color="auto" w:fill="auto"/>
          <w:lang w:val="ja-JP" w:eastAsia="ja-JP" w:bidi="ja-JP"/>
        </w:rPr>
        <w:t>総則」による。</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適用</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参考歩掛りは、第２編から第４編に定める歩掛りとし、下記(１)～(３)の場合等</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に適用できる。なお、適用に際しては、個々の施工条件等を十分考慮する必要がある。</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各歩掛りの表番号に「【市】」と記載されたものは以下の(１)に該当する歩掛りと</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し、「【設】」と記載されたものは(２)に該当する歩掛りとし、「【専】」と記載さ</w:t>
      </w:r>
    </w:p>
    <w:p>
      <w:pPr>
        <w:pStyle w:val="Style4"/>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れたものは(３)に該当する歩掛りをあらわす。</w:t>
      </w:r>
    </w:p>
    <w:p>
      <w:pPr>
        <w:pStyle w:val="Style4"/>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(１)市場単価を補正して使用する場合</w:t>
      </w:r>
    </w:p>
    <w:p>
      <w:pPr>
        <w:pStyle w:val="Style4"/>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(２)設計図書の特記事項により参考歩掛りの細目工種が指定された場合</w:t>
      </w:r>
    </w:p>
    <w:p>
      <w:pPr>
        <w:pStyle w:val="Style4"/>
        <w:keepNext w:val="0"/>
        <w:keepLines w:val="0"/>
        <w:widowControl w:val="0"/>
        <w:shd w:val="clear" w:color="auto" w:fill="auto"/>
        <w:bidi w:val="0"/>
        <w:spacing w:before="0" w:after="8060" w:line="240" w:lineRule="auto"/>
        <w:ind w:left="220" w:right="0" w:firstLine="0"/>
        <w:jc w:val="left"/>
      </w:pPr>
      <w:r>
        <w:rPr>
          <w:color w:val="000000"/>
          <w:spacing w:val="0"/>
          <w:w w:val="100"/>
          <w:position w:val="0"/>
          <w:shd w:val="clear" w:color="auto" w:fill="auto"/>
          <w:lang w:val="en-US" w:eastAsia="en-US" w:bidi="en-US"/>
        </w:rPr>
        <w:t>(３)製造業者又は専門工事業者の見積価格等を参考にすることが困難な場合</w:t>
      </w:r>
    </w:p>
    <w:p>
      <w:pPr>
        <w:pStyle w:val="Style6"/>
        <w:keepNext w:val="0"/>
        <w:keepLines w:val="0"/>
        <w:widowControl w:val="0"/>
        <w:shd w:val="clear" w:color="auto" w:fill="auto"/>
        <w:bidi w:val="0"/>
        <w:spacing w:before="0" w:line="240" w:lineRule="auto"/>
        <w:ind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RS 1 -</w:t>
      </w:r>
    </w:p>
    <w:sectPr>
      <w:footnotePr>
        <w:pos w:val="pageBottom"/>
        <w:numFmt w:val="decimal"/>
        <w:numRestart w:val="continuous"/>
      </w:footnotePr>
      <w:pgSz w:w="11900" w:h="16840"/>
      <w:pgMar w:top="1753" w:left="1668" w:right="1591" w:bottom="243" w:header="1325"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見出し #1|1_"/>
    <w:basedOn w:val="DefaultParagraphFont"/>
    <w:link w:val="Style2"/>
    <w:rPr>
      <w:rFonts w:ascii="MS Mincho" w:eastAsia="MS Mincho" w:hAnsi="MS Mincho" w:cs="MS Mincho"/>
      <w:b w:val="0"/>
      <w:bCs w:val="0"/>
      <w:i w:val="0"/>
      <w:iCs w:val="0"/>
      <w:smallCaps w:val="0"/>
      <w:strike w:val="0"/>
      <w:sz w:val="28"/>
      <w:szCs w:val="28"/>
      <w:u w:val="none"/>
    </w:rPr>
  </w:style>
  <w:style w:type="character" w:customStyle="1" w:styleId="CharStyle5">
    <w:name w:val="本文|1_"/>
    <w:basedOn w:val="DefaultParagraphFont"/>
    <w:link w:val="Style4"/>
    <w:rPr>
      <w:rFonts w:ascii="MS Mincho" w:eastAsia="MS Mincho" w:hAnsi="MS Mincho" w:cs="MS Mincho"/>
      <w:b w:val="0"/>
      <w:bCs w:val="0"/>
      <w:i w:val="0"/>
      <w:iCs w:val="0"/>
      <w:smallCaps w:val="0"/>
      <w:strike w:val="0"/>
      <w:sz w:val="20"/>
      <w:szCs w:val="20"/>
      <w:u w:val="none"/>
    </w:rPr>
  </w:style>
  <w:style w:type="character" w:customStyle="1" w:styleId="CharStyle7">
    <w:name w:val="本文|2_"/>
    <w:basedOn w:val="DefaultParagraphFont"/>
    <w:link w:val="Style6"/>
    <w:rPr>
      <w:b w:val="0"/>
      <w:bCs w:val="0"/>
      <w:i w:val="0"/>
      <w:iCs w:val="0"/>
      <w:smallCaps w:val="0"/>
      <w:strike w:val="0"/>
      <w:sz w:val="20"/>
      <w:szCs w:val="20"/>
      <w:u w:val="none"/>
    </w:rPr>
  </w:style>
  <w:style w:type="paragraph" w:customStyle="1" w:styleId="Style2">
    <w:name w:val="見出し #1|1"/>
    <w:basedOn w:val="Normal"/>
    <w:link w:val="CharStyle3"/>
    <w:pPr>
      <w:widowControl w:val="0"/>
      <w:shd w:val="clear" w:color="auto" w:fill="FFFFFF"/>
      <w:spacing w:after="760"/>
      <w:outlineLvl w:val="0"/>
    </w:pPr>
    <w:rPr>
      <w:rFonts w:ascii="MS Mincho" w:eastAsia="MS Mincho" w:hAnsi="MS Mincho" w:cs="MS Mincho"/>
      <w:b w:val="0"/>
      <w:bCs w:val="0"/>
      <w:i w:val="0"/>
      <w:iCs w:val="0"/>
      <w:smallCaps w:val="0"/>
      <w:strike w:val="0"/>
      <w:sz w:val="28"/>
      <w:szCs w:val="28"/>
      <w:u w:val="none"/>
    </w:rPr>
  </w:style>
  <w:style w:type="paragraph" w:customStyle="1" w:styleId="Style4">
    <w:name w:val="本文|1"/>
    <w:basedOn w:val="Normal"/>
    <w:link w:val="CharStyle5"/>
    <w:pPr>
      <w:widowControl w:val="0"/>
      <w:shd w:val="clear" w:color="auto" w:fill="FFFFFF"/>
      <w:spacing w:after="120"/>
    </w:pPr>
    <w:rPr>
      <w:rFonts w:ascii="MS Mincho" w:eastAsia="MS Mincho" w:hAnsi="MS Mincho" w:cs="MS Mincho"/>
      <w:b w:val="0"/>
      <w:bCs w:val="0"/>
      <w:i w:val="0"/>
      <w:iCs w:val="0"/>
      <w:smallCaps w:val="0"/>
      <w:strike w:val="0"/>
      <w:sz w:val="20"/>
      <w:szCs w:val="20"/>
      <w:u w:val="none"/>
    </w:rPr>
  </w:style>
  <w:style w:type="paragraph" w:customStyle="1" w:styleId="Style6">
    <w:name w:val="本文|2"/>
    <w:basedOn w:val="Normal"/>
    <w:link w:val="CharStyle7"/>
    <w:pPr>
      <w:widowControl w:val="0"/>
      <w:shd w:val="clear" w:color="auto" w:fill="FFFFFF"/>
      <w:spacing w:after="120"/>
      <w:ind w:left="60"/>
      <w:jc w:val="center"/>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