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７.【第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鉄 骨】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イ.建築構造物等の鉄骨現場建て方、トルシア形高力ボルト締付け及びアンカーボルト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埋込みに適用する。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ロ.現場建方は、低層及び中層の建物に適用する。なお、１㎡当たり鋼材使用量及び鋼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材総使用量により補正する。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【専】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現場建方 (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1ｔ当たり)</w:t>
      </w:r>
    </w:p>
    <w:tbl>
      <w:tblPr>
        <w:tblOverlap w:val="never"/>
        <w:jc w:val="center"/>
        <w:tblLayout w:type="fixed"/>
      </w:tblPr>
      <w:tblGrid>
        <w:gridCol w:w="1474"/>
        <w:gridCol w:w="1488"/>
        <w:gridCol w:w="533"/>
        <w:gridCol w:w="1061"/>
        <w:gridCol w:w="1066"/>
        <w:gridCol w:w="2899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低 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中 層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普通ボルト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と び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鉄 骨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備考欄の数値は、１現場当たり損料率を示す。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揚重機の費用は、別途計上する。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1)</w:t>
      </w:r>
      <w:r>
        <w:rPr>
          <w:color w:val="000000"/>
          <w:spacing w:val="0"/>
          <w:w w:val="100"/>
          <w:position w:val="0"/>
          <w:shd w:val="clear" w:color="auto" w:fill="auto"/>
        </w:rPr>
        <w:t>ロ.に基づく補正の対象は、現場建方費を対象とする。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「その他」の率対象は、普通ボルト、とび工及び鉄骨工とする。</w:t>
      </w:r>
    </w:p>
    <w:p>
      <w:pPr>
        <w:widowControl w:val="0"/>
        <w:spacing w:after="527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29 -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391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3">
    <w:name w:val="その他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4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  <w:spacing w:after="140"/>
      <w:ind w:left="5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2">
    <w:name w:val="その他|1"/>
    <w:basedOn w:val="Normal"/>
    <w:link w:val="CharStyle13"/>
    <w:pPr>
      <w:widowControl w:val="0"/>
      <w:shd w:val="clear" w:color="auto" w:fill="FFFFFF"/>
      <w:spacing w:after="1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