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- 8 - 3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2"/>
        <w:keepNext/>
        <w:keepLines/>
        <w:widowControl w:val="0"/>
        <w:shd w:val="clear" w:color="auto" w:fill="auto"/>
        <w:tabs>
          <w:tab w:pos="6864" w:val="left"/>
        </w:tabs>
        <w:bidi w:val="0"/>
        <w:spacing w:before="0" w:after="60" w:line="240" w:lineRule="auto"/>
        <w:ind w:left="0" w:right="0" w:firstLine="0"/>
        <w:jc w:val="both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外壁コンクリートブロック帳壁(空洞ブロック16-Ｗ)</w:t>
        <w:tab/>
        <w:t>(1㎡当たり)</w:t>
      </w:r>
      <w:bookmarkEnd w:id="0"/>
    </w:p>
    <w:tbl>
      <w:tblPr>
        <w:tblOverlap w:val="never"/>
        <w:jc w:val="center"/>
        <w:tblLayout w:type="fixed"/>
      </w:tblPr>
      <w:tblGrid>
        <w:gridCol w:w="2006"/>
        <w:gridCol w:w="1488"/>
        <w:gridCol w:w="533"/>
        <w:gridCol w:w="850"/>
        <w:gridCol w:w="854"/>
        <w:gridCol w:w="845"/>
        <w:gridCol w:w="854"/>
        <w:gridCol w:w="893"/>
      </w:tblGrid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 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190㎜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建築用空洞ブロック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24.2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細骨材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鉄筋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建築ブロック工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59" w:line="1" w:lineRule="exact"/>
      </w:pP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10200" w:line="240" w:lineRule="auto"/>
        <w:ind w:left="0" w:right="0" w:firstLine="0"/>
        <w:jc w:val="left"/>
        <w:rPr>
          <w:sz w:val="16"/>
          <w:szCs w:val="16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「その他」の率対象は、建築用空洞ﾌﾞﾛｯｸ、建築ブロック工、普通作業員とする。</w:t>
      </w:r>
      <w:bookmarkEnd w:id="1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12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33 -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496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その他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見出し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120"/>
      <w:ind w:right="6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その他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見出し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