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第２編 </w:t>
      </w:r>
      <w:r>
        <w:rPr>
          <w:color w:val="000000"/>
          <w:spacing w:val="0"/>
          <w:w w:val="100"/>
          <w:position w:val="0"/>
          <w:shd w:val="clear" w:color="auto" w:fill="auto"/>
        </w:rPr>
        <w:t>建 築 工 事</w:t>
      </w:r>
      <w:bookmarkEnd w:id="0"/>
    </w:p>
    <w:p>
      <w:pPr>
        <w:pStyle w:val="Style4"/>
        <w:keepNext/>
        <w:keepLines/>
        <w:widowControl w:val="0"/>
        <w:shd w:val="clear" w:color="auto" w:fill="auto"/>
        <w:tabs>
          <w:tab w:pos="2554" w:val="left"/>
        </w:tabs>
        <w:bidi w:val="0"/>
        <w:spacing w:before="0" w:line="240" w:lineRule="auto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１.【第１節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仮</w:t>
        <w:tab/>
        <w:t>設】</w:t>
      </w:r>
      <w:bookmarkEnd w:id="1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イ.トラッククレーンの分解・組立及び運搬に適用する。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(共通仮設)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- 1 - 1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トラッククレーン(油圧伸縮ジブ型)分解・組立費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回当たり)</w:t>
      </w:r>
    </w:p>
    <w:tbl>
      <w:tblPr>
        <w:tblOverlap w:val="never"/>
        <w:jc w:val="center"/>
        <w:tblLayout w:type="fixed"/>
      </w:tblPr>
      <w:tblGrid>
        <w:gridCol w:w="1474"/>
        <w:gridCol w:w="1488"/>
        <w:gridCol w:w="533"/>
        <w:gridCol w:w="955"/>
        <w:gridCol w:w="2064"/>
        <w:gridCol w:w="200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特殊作業員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雑費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労務費の6％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(注)1.分解部品の運搬費は別途加算する。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2.分解組立に使用するクレーンは別途加算する。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3.100ｔ吊～200ｔ吊のトラッククレーン(油圧伸縮ジブ型)に適用する。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4.「その他」の率対象は、特殊作業員及び雑費とする。</w:t>
      </w:r>
    </w:p>
    <w:p>
      <w:pPr>
        <w:widowControl w:val="0"/>
        <w:spacing w:after="4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- 1 - 2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トラッククレーン(油圧伸縮ジブ型)分解部品運搬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往復当たり)</w:t>
      </w:r>
    </w:p>
    <w:tbl>
      <w:tblPr>
        <w:tblOverlap w:val="never"/>
        <w:jc w:val="center"/>
        <w:tblLayout w:type="fixed"/>
      </w:tblPr>
      <w:tblGrid>
        <w:gridCol w:w="1579"/>
        <w:gridCol w:w="1382"/>
        <w:gridCol w:w="533"/>
        <w:gridCol w:w="850"/>
        <w:gridCol w:w="850"/>
        <w:gridCol w:w="854"/>
        <w:gridCol w:w="850"/>
        <w:gridCol w:w="162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100t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120t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160t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200t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備 考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11t積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4.1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12.7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運搬機械の日数はトラック11ｔ積による換算値とする。</w:t>
      </w:r>
    </w:p>
    <w:p>
      <w:pPr>
        <w:widowControl w:val="0"/>
        <w:spacing w:after="32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1 -</w:t>
      </w:r>
    </w:p>
    <w:sectPr>
      <w:footnotePr>
        <w:pos w:val="pageBottom"/>
        <w:numFmt w:val="decimal"/>
        <w:numRestart w:val="continuous"/>
      </w:footnotePr>
      <w:pgSz w:w="11900" w:h="16840"/>
      <w:pgMar w:top="1858" w:left="1827" w:right="1554" w:bottom="242" w:header="143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8"/>
      <w:szCs w:val="28"/>
      <w:u w:val="none"/>
      <w:lang w:val="ja-JP" w:eastAsia="ja-JP" w:bidi="ja-JP"/>
    </w:rPr>
  </w:style>
  <w:style w:type="character" w:customStyle="1" w:styleId="CharStyle5">
    <w:name w:val="見出し #2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本文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その他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88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8"/>
      <w:szCs w:val="28"/>
      <w:u w:val="none"/>
      <w:lang w:val="ja-JP" w:eastAsia="ja-JP" w:bidi="ja-JP"/>
    </w:rPr>
  </w:style>
  <w:style w:type="paragraph" w:customStyle="1" w:styleId="Style4">
    <w:name w:val="見出し #2|1"/>
    <w:basedOn w:val="Normal"/>
    <w:link w:val="CharStyle5"/>
    <w:pPr>
      <w:widowControl w:val="0"/>
      <w:shd w:val="clear" w:color="auto" w:fill="FFFFFF"/>
      <w:spacing w:after="740"/>
      <w:outlineLvl w:val="1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  <w:spacing w:after="2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270"/>
      <w:ind w:right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  <w:spacing w:after="160"/>
      <w:ind w:left="5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  <w:spacing w:after="2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