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-15- 9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内部役物モルタル塗り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1ｍ当たり)</w:t>
      </w:r>
    </w:p>
    <w:tbl>
      <w:tblPr>
        <w:tblOverlap w:val="never"/>
        <w:jc w:val="center"/>
        <w:tblLayout w:type="fixed"/>
      </w:tblPr>
      <w:tblGrid>
        <w:gridCol w:w="1368"/>
        <w:gridCol w:w="854"/>
        <w:gridCol w:w="528"/>
        <w:gridCol w:w="1066"/>
        <w:gridCol w:w="1061"/>
        <w:gridCol w:w="1066"/>
        <w:gridCol w:w="1061"/>
        <w:gridCol w:w="1517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笠木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糸幅=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膳板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糸幅=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柱コーナー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加 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梁コーナー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加 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-15-10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建具周囲モルタル充てん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1ｍ当たり)</w:t>
      </w:r>
    </w:p>
    <w:tbl>
      <w:tblPr>
        <w:tblOverlap w:val="never"/>
        <w:jc w:val="center"/>
        <w:tblLayout w:type="fixed"/>
      </w:tblPr>
      <w:tblGrid>
        <w:gridCol w:w="1368"/>
        <w:gridCol w:w="854"/>
        <w:gridCol w:w="528"/>
        <w:gridCol w:w="1066"/>
        <w:gridCol w:w="1061"/>
        <w:gridCol w:w="3643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 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 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 水 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41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【専】 </w:t>
      </w:r>
      <w:r>
        <w:rPr>
          <w:color w:val="000000"/>
          <w:spacing w:val="0"/>
          <w:w w:val="100"/>
          <w:position w:val="0"/>
          <w:shd w:val="clear" w:color="auto" w:fill="auto"/>
        </w:rPr>
        <w:t>防水入隅処理(モルタル)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１ｍ当たり)</w:t>
      </w:r>
    </w:p>
    <w:tbl>
      <w:tblPr>
        <w:tblOverlap w:val="never"/>
        <w:jc w:val="center"/>
        <w:tblLayout w:type="fixed"/>
      </w:tblPr>
      <w:tblGrid>
        <w:gridCol w:w="1579"/>
        <w:gridCol w:w="1066"/>
        <w:gridCol w:w="533"/>
        <w:gridCol w:w="1272"/>
        <w:gridCol w:w="407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細骨材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413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16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52 -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