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-17- 17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【標仕仕様】オイルステイン塗り(ＯＳ) (1㎡当たり)</w:t>
      </w:r>
      <w:bookmarkEnd w:id="0"/>
    </w:p>
    <w:tbl>
      <w:tblPr>
        <w:tblOverlap w:val="never"/>
        <w:jc w:val="center"/>
        <w:tblLayout w:type="fixed"/>
      </w:tblPr>
      <w:tblGrid>
        <w:gridCol w:w="1776"/>
        <w:gridCol w:w="1474"/>
        <w:gridCol w:w="523"/>
        <w:gridCol w:w="1157"/>
        <w:gridCol w:w="2261"/>
        <w:gridCol w:w="229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-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5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オイルステイン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表は、公共建築工事標準仕様書平成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</w:rPr>
        <w:t>年版の仕様とする。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素地ごしらえを含む。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「その他」の率対象は、オイルステイン、塗装工とする。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-17- 18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【標仕仕様】合成樹脂調合ﾍﾟｲﾝﾄ塗り(ＳＯＰ)(糸幅: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300mm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以下) (1ｍ当たり)</w:t>
      </w:r>
      <w:bookmarkEnd w:id="1"/>
    </w:p>
    <w:tbl>
      <w:tblPr>
        <w:tblOverlap w:val="never"/>
        <w:jc w:val="center"/>
        <w:tblLayout w:type="fixed"/>
      </w:tblPr>
      <w:tblGrid>
        <w:gridCol w:w="1776"/>
        <w:gridCol w:w="1474"/>
        <w:gridCol w:w="523"/>
        <w:gridCol w:w="1157"/>
        <w:gridCol w:w="1162"/>
        <w:gridCol w:w="1104"/>
        <w:gridCol w:w="229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Ａ種(屋外)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Ｂ種(屋内)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2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木部下塗り用調合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ペ イ ン 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M-304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合成樹脂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-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合成樹脂調合ペイント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1種淡彩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耐水形)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-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-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0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-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木部に適用し、素地ごしらえ(Ａ種)を含む。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「その他」の率対象は、木部下塗り用調合ペイント、合成樹脂調合ペイント、合成樹脂エマルションパテ、研磨紙、塗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装工とする。</w:t>
      </w:r>
    </w:p>
    <w:p>
      <w:pPr>
        <w:widowControl w:val="0"/>
        <w:spacing w:after="7199" w:line="1" w:lineRule="exact"/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3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65 -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見出し #1|1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9">
    <w:name w:val="本文|1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見出し #1|1"/>
    <w:basedOn w:val="Normal"/>
    <w:link w:val="CharStyle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  <w:ind w:left="2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8">
    <w:name w:val="本文|1"/>
    <w:basedOn w:val="Normal"/>
    <w:link w:val="CharStyle19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