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１７.【第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内 外 装】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86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812800</wp:posOffset>
                </wp:positionV>
                <wp:extent cx="5172710" cy="17081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7271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ビニル床シート張り及びビニル床タイル張り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64.pt;width:407.30000000000001pt;height:13.44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ビニル床シート張り及びビニル床タイル張り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3149600</wp:posOffset>
                </wp:positionV>
                <wp:extent cx="5236210" cy="17081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621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ビニル幅木張り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1ｍ当たり)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248.pt;width:412.30000000000001pt;height:13.44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ビニル幅木張り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1ｍ当たり)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内装床及び内装ボード張りに適用する。</w:t>
      </w:r>
    </w:p>
    <w:tbl>
      <w:tblPr>
        <w:tblOverlap w:val="never"/>
        <w:jc w:val="left"/>
        <w:tblLayout w:type="fixed"/>
      </w:tblPr>
      <w:tblGrid>
        <w:gridCol w:w="1901"/>
        <w:gridCol w:w="1166"/>
        <w:gridCol w:w="538"/>
        <w:gridCol w:w="1061"/>
        <w:gridCol w:w="1066"/>
        <w:gridCol w:w="1061"/>
        <w:gridCol w:w="1061"/>
        <w:gridCol w:w="667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ビニル床シート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ビニル床タイル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95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95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95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階段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階段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951"/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ビニル床シート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ビニル床タイル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接 着 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ビニル系床材用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内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9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95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160" w:h="600" w:hSpace="6360" w:wrap="notBeside" w:vAnchor="text" w:hAnchor="text" w:x="11" w:y="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9"/>
        <w:keepNext w:val="0"/>
        <w:keepLines w:val="0"/>
        <w:framePr w:w="2160" w:h="600" w:hSpace="6360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-18- 1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6864" w:h="221" w:hSpace="1656" w:wrap="notBeside" w:vAnchor="text" w:hAnchor="text" w:x="11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「その他」の率対象は、ビニル床シート、ビニル床タイル、接着剤、内装工とする。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901"/>
        <w:gridCol w:w="1166"/>
        <w:gridCol w:w="538"/>
        <w:gridCol w:w="1061"/>
        <w:gridCol w:w="1066"/>
        <w:gridCol w:w="2789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ビニル幅木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6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一般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階段ささら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2371" w:vSpace="274" w:wrap="notBeside" w:vAnchor="text" w:hAnchor="text" w:y="625"/>
            </w:pPr>
          </w:p>
        </w:tc>
      </w:tr>
      <w:tr>
        <w:trPr>
          <w:trHeight w:val="167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tabs>
                <w:tab w:pos="631" w:val="left"/>
                <w:tab w:pos="1140" w:val="right"/>
                <w:tab w:pos="1202" w:val="left"/>
                <w:tab w:pos="1831" w:val="right"/>
              </w:tabs>
              <w:bidi w:val="0"/>
              <w:spacing w:before="0" w:after="140" w:line="240" w:lineRule="auto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</w:t>
              <w:tab/>
              <w:t>ニ</w:t>
              <w:tab/>
              <w:t>ル</w:t>
              <w:tab/>
              <w:t>幅</w:t>
              <w:tab/>
              <w:t>木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tabs>
                <w:tab w:pos="631" w:val="left"/>
                <w:tab w:pos="1140" w:val="right"/>
                <w:tab w:pos="1202" w:val="left"/>
                <w:tab w:pos="1831" w:val="right"/>
              </w:tabs>
              <w:bidi w:val="0"/>
              <w:spacing w:before="0" w:after="140" w:line="240" w:lineRule="auto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</w:t>
              <w:tab/>
              <w:t>ニ</w:t>
              <w:tab/>
              <w:t>ル</w:t>
              <w:tab/>
              <w:t>幅</w:t>
              <w:tab/>
              <w:t>木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tabs>
                <w:tab w:pos="1140" w:val="right"/>
                <w:tab w:pos="1831" w:val="right"/>
              </w:tabs>
              <w:bidi w:val="0"/>
              <w:spacing w:before="0" w:after="140" w:line="240" w:lineRule="auto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接</w:t>
              <w:tab/>
              <w:t>着</w:t>
              <w:tab/>
              <w:t>剤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tabs>
                <w:tab w:pos="1140" w:val="right"/>
                <w:tab w:pos="1831" w:val="right"/>
              </w:tabs>
              <w:bidi w:val="0"/>
              <w:spacing w:before="0" w:after="140" w:line="240" w:lineRule="auto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内</w:t>
              <w:tab/>
              <w:t>装</w:t>
              <w:tab/>
              <w:t>工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tabs>
                <w:tab w:pos="1140" w:val="right"/>
                <w:tab w:pos="1831" w:val="right"/>
              </w:tabs>
              <w:bidi w:val="0"/>
              <w:spacing w:before="0" w:after="140" w:line="240" w:lineRule="auto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  <w:tab/>
              <w:t>の</w:t>
              <w:tab/>
              <w:t>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階段ささら用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ビニル系床材用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  <w:p>
            <w:pPr>
              <w:pStyle w:val="Style7"/>
              <w:keepNext w:val="0"/>
              <w:keepLines w:val="0"/>
              <w:framePr w:w="8520" w:h="2371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71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160" w:h="274" w:hSpace="6360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-18- 2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5261" w:h="221" w:hSpace="3259" w:wrap="notBeside" w:vAnchor="text" w:hAnchor="text" w:x="11" w:y="30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「その他」の率対象は、ビニル幅木、接着剤、内装工とする。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77 -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554" w:bottom="247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見出し #1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0">
    <w:name w:val="本文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見出し #1|1"/>
    <w:basedOn w:val="Normal"/>
    <w:link w:val="CharStyle5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