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１９.【第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21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ja-JP" w:eastAsia="ja-JP" w:bidi="ja-JP"/>
        </w:rPr>
        <w:t>節 構内舗装】</w:t>
      </w:r>
      <w:bookmarkEnd w:id="0"/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１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一般事項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本節に定める参考歩掛りにおける仕様は、公共建築工事標準仕様書による。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２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参考歩掛り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(１)適用条件及び留意事項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4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イ.構内のアスファルト舗装に適用する。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4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ロ.舗装面積は、2,500㎡未満とする。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4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ハ.材料費は、表RA-21-1の材料使用量により別途計上する。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1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(２)細目工種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RA -21- 1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【設】</w:t>
      </w:r>
    </w:p>
    <w:tbl>
      <w:tblPr>
        <w:tblOverlap w:val="never"/>
        <w:jc w:val="center"/>
        <w:tblLayout w:type="fixed"/>
      </w:tblPr>
      <w:tblGrid>
        <w:gridCol w:w="2328"/>
        <w:gridCol w:w="1166"/>
        <w:gridCol w:w="850"/>
        <w:gridCol w:w="2074"/>
        <w:gridCol w:w="2102"/>
      </w:tblGrid>
      <w:tr>
        <w:trPr>
          <w:trHeight w:val="312" w:hRule="exact"/>
        </w:trPr>
        <w:tc>
          <w:tcPr>
            <w:gridSpan w:val="4"/>
            <w:tcBorders/>
            <w:shd w:val="clear" w:color="auto" w:fill="FFFFFF"/>
            <w:vAlign w:val="top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>タックコート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86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(Ｌ/100㎡)</w:t>
            </w:r>
          </w:p>
        </w:tc>
      </w:tr>
      <w:tr>
        <w:trPr>
          <w:trHeight w:val="34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58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車道部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考</w:t>
            </w:r>
          </w:p>
        </w:tc>
      </w:tr>
      <w:tr>
        <w:trPr>
          <w:trHeight w:val="34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58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タックコート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ＰＫ-4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40.8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27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表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 xml:space="preserve">RA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>-21-2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>【設】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>タックコート散布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(100㎡当たり)</w:t>
            </w:r>
          </w:p>
        </w:tc>
      </w:tr>
    </w:tbl>
    <w:tbl>
      <w:tblPr>
        <w:tblOverlap w:val="never"/>
        <w:jc w:val="center"/>
        <w:tblLayout w:type="fixed"/>
      </w:tblPr>
      <w:tblGrid>
        <w:gridCol w:w="1901"/>
        <w:gridCol w:w="1166"/>
        <w:gridCol w:w="538"/>
        <w:gridCol w:w="1061"/>
        <w:gridCol w:w="3854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タックコート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ｱｽﾌｧﾙﾄｽﾌﾟﾚﾔ運転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25L/min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特殊作業員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その他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「その他」の率対象は、特殊作業員及び普通作業員とする。</w:t>
      </w:r>
    </w:p>
    <w:p>
      <w:pPr>
        <w:widowControl w:val="0"/>
        <w:spacing w:after="4879" w:line="1" w:lineRule="exact"/>
      </w:pP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18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83 -</w:t>
      </w:r>
    </w:p>
    <w:sectPr>
      <w:footnotePr>
        <w:pos w:val="pageBottom"/>
        <w:numFmt w:val="decimal"/>
        <w:numRestart w:val="continuous"/>
      </w:footnotePr>
      <w:pgSz w:w="11900" w:h="16840"/>
      <w:pgMar w:top="1705" w:left="1827" w:right="1554" w:bottom="247" w:header="1277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1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u w:val="none"/>
    </w:rPr>
  </w:style>
  <w:style w:type="character" w:customStyle="1" w:styleId="CharStyle6">
    <w:name w:val="本文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8">
    <w:name w:val="テーブルのキャプション|1_"/>
    <w:basedOn w:val="DefaultParagraphFont"/>
    <w:link w:val="Style7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12">
    <w:name w:val="その他|1_"/>
    <w:basedOn w:val="DefaultParagraphFont"/>
    <w:link w:val="Style11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2">
    <w:name w:val="見出し #1|1"/>
    <w:basedOn w:val="Normal"/>
    <w:link w:val="CharStyle3"/>
    <w:pPr>
      <w:widowControl w:val="0"/>
      <w:shd w:val="clear" w:color="auto" w:fill="FFFFFF"/>
      <w:spacing w:after="720"/>
      <w:outlineLvl w:val="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u w:val="none"/>
    </w:rPr>
  </w:style>
  <w:style w:type="paragraph" w:customStyle="1" w:styleId="Style5">
    <w:name w:val="本文|1"/>
    <w:basedOn w:val="Normal"/>
    <w:link w:val="CharStyle6"/>
    <w:pPr>
      <w:widowControl w:val="0"/>
      <w:shd w:val="clear" w:color="auto" w:fill="FFFFFF"/>
      <w:spacing w:after="44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7">
    <w:name w:val="テーブルのキャプション|1"/>
    <w:basedOn w:val="Normal"/>
    <w:link w:val="CharStyle8"/>
    <w:pPr>
      <w:widowControl w:val="0"/>
      <w:shd w:val="clear" w:color="auto" w:fill="FFFFFF"/>
      <w:spacing w:after="6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11">
    <w:name w:val="その他|1"/>
    <w:basedOn w:val="Normal"/>
    <w:link w:val="CharStyle12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