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２０.とりこわし</w:t>
      </w:r>
      <w:bookmarkEnd w:id="0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１ </w:t>
      </w:r>
      <w:r>
        <w:rPr>
          <w:color w:val="000000"/>
          <w:spacing w:val="0"/>
          <w:w w:val="100"/>
          <w:position w:val="0"/>
          <w:shd w:val="clear" w:color="auto" w:fill="auto"/>
        </w:rPr>
        <w:t>一般事項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6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本節に定める参考歩掛りにおける仕様は、建築物解体工事共通仕様書(国土交通省大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42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臣官房官庁営繕部)に基づく解体工事を前提としている。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２ </w:t>
      </w:r>
      <w:r>
        <w:rPr>
          <w:color w:val="000000"/>
          <w:spacing w:val="0"/>
          <w:w w:val="100"/>
          <w:position w:val="0"/>
          <w:shd w:val="clear" w:color="auto" w:fill="auto"/>
        </w:rPr>
        <w:t>参考歩掛り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(１)適用条件及び留意事項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42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イ.「(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細目工種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表ＲＡ－２２－４～表ＲＡ－２２－１０」においては、鉄筋コ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6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ンクリート造及び鉄骨鉄筋コンクリート造のとりこわしに適用する。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42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ロ.「(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細目工種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表ＲＡ－２２－１～表ＲＡ－２２－３」においては、下記のと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6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おりとする。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42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(イ)適用条件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6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・原則として事務を取扱う庁舎の基礎を含めた解体に適用する。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6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・原則として鉄筋コンクリート造地上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階以下に適用する。なお、建物の地下階、免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8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震及び制振構造の建物の場合には適用できない。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6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・原則として独立基礎の場合に適用する。なお、全面ピットの建物には適用できない。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6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・地上からの作業による解体工法に適用する。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6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・ベースマシンは、バックホウ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0.8m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台及び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0.5m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台を標準とする。なお、参考歩掛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8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りでは、ベースマシンをバックホウ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0.8m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に換算した所要量である。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6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・ベースマシンの運搬に要する費用は、重機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0.8m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台及び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0.5m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台を別途計上する。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8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なお、敷地に余裕のない場合は適用できない。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6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・圧砕機が主体の解体を標準とする。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6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・外構及び工作物の解体には適用できない。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42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(ロ)留意事項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8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上部躯体とは、１階床面より上部をいう。また、基礎部躯体とは、１階床面より下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6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部をいう。なお、仕上げ等とは、躯体の解体に先がけて行う必要がある仕上げ材等を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4360" w:line="240" w:lineRule="auto"/>
        <w:ind w:left="6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いう。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line="240" w:lineRule="auto"/>
        <w:ind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84 -</w:t>
      </w:r>
    </w:p>
    <w:sectPr>
      <w:footnotePr>
        <w:pos w:val="pageBottom"/>
        <w:numFmt w:val="decimal"/>
        <w:numRestart w:val="continuous"/>
      </w:footnotePr>
      <w:pgSz w:w="11900" w:h="16840"/>
      <w:pgMar w:top="1714" w:left="1836" w:right="1184" w:bottom="242" w:header="1286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1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u w:val="none"/>
    </w:rPr>
  </w:style>
  <w:style w:type="character" w:customStyle="1" w:styleId="CharStyle5">
    <w:name w:val="本文|1_"/>
    <w:basedOn w:val="DefaultParagraphFont"/>
    <w:link w:val="Style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8">
    <w:name w:val="本文|2_"/>
    <w:basedOn w:val="DefaultParagraphFont"/>
    <w:link w:val="Style7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見出し #1|1"/>
    <w:basedOn w:val="Normal"/>
    <w:link w:val="CharStyle3"/>
    <w:pPr>
      <w:widowControl w:val="0"/>
      <w:shd w:val="clear" w:color="auto" w:fill="FFFFFF"/>
      <w:spacing w:after="740"/>
      <w:outlineLvl w:val="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u w:val="none"/>
    </w:rPr>
  </w:style>
  <w:style w:type="paragraph" w:customStyle="1" w:styleId="Style4">
    <w:name w:val="本文|1"/>
    <w:basedOn w:val="Normal"/>
    <w:link w:val="CharStyle5"/>
    <w:pPr>
      <w:widowControl w:val="0"/>
      <w:shd w:val="clear" w:color="auto" w:fill="FFFFFF"/>
      <w:spacing w:after="10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7">
    <w:name w:val="本文|2"/>
    <w:basedOn w:val="Normal"/>
    <w:link w:val="CharStyle8"/>
    <w:pPr>
      <w:widowControl w:val="0"/>
      <w:shd w:val="clear" w:color="auto" w:fill="FFFFFF"/>
      <w:spacing w:after="100"/>
      <w:ind w:left="180"/>
      <w:jc w:val="center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