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</w:rPr>
        <w:t>①上部躯体とりこわし及び基礎部躯体とりこわし</w:t>
      </w:r>
      <w:bookmarkEnd w:id="0"/>
    </w:p>
    <w:tbl>
      <w:tblPr>
        <w:tblOverlap w:val="never"/>
        <w:jc w:val="center"/>
        <w:tblLayout w:type="fixed"/>
      </w:tblPr>
      <w:tblGrid>
        <w:gridCol w:w="3936"/>
        <w:gridCol w:w="3941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とりこわし歩掛りに含む工事等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別途計上する工事等</w:t>
            </w:r>
          </w:p>
        </w:tc>
      </w:tr>
      <w:tr>
        <w:trPr>
          <w:trHeight w:val="78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(建築に関する事項)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・鉄筋切断、発生材の小割、分別、積込み及び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散水。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・地業(捨コン及び砂利地業)の解体。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・壁及び天井仕上げの下地材の解体。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・玄関庇等の小規模な鉄骨の解体。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・屋内階段が鉄骨造である場合の解体。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・建物外壁部に取り付けられた、施設名表示等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・鉄筋コンクリート造の屋根が鉄骨造となって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いる場合の下地鉄骨部材の解体。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・土間コンクリート及び土間スラブの解体は、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基礎部躯体とりこわし歩掛りに含まれる。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・基礎部とりこわしの歩掛りには、撤去部の根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切り・埋戻し・敷均し(場内発生土砂を利用)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を含む。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(電気設備に関する事項)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・躯体に埋め込まれた設備機器類の解体。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・配管・配線の解体。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(機械設備に関する事項)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・躯体に埋め込まれた設備機器類の解体。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・配管類の解体。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4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・杭の引き抜き、場所打ち杭及びラップルコン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クリート等の解体。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・建物内の備品(家具類)等の解体。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・エレベーター設備に附帯する鉄骨部材、耐震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補強等で設置された鉄骨部材の解体。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・施設の用途上設置された鉄骨階段の解体。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・屋外鉄骨階段の解体。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・特記による、とりこわし後の敷地の整地。</w:t>
            </w:r>
          </w:p>
        </w:tc>
      </w:tr>
    </w:tbl>
    <w:p>
      <w:pPr>
        <w:widowControl w:val="0"/>
        <w:spacing w:after="589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32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85 -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2446" w:right="1578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30"/>
      <w:ind w:left="16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spacing w:after="1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