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Meeting</w:t>
      </w:r>
      <w:proofErr w:type="gramEnd"/>
      <w:r>
        <w:rPr>
          <w:rFonts w:ascii="Calibri" w:hAnsi="Calibri"/>
          <w:sz w:val="24"/>
        </w:rPr>
        <w:t xml:space="preserve">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1B202F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no logra establecer comunicación con la </w:t>
      </w:r>
      <w:r w:rsidR="00023D17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</w:t>
      </w:r>
      <w:r w:rsidR="00023D17">
        <w:rPr>
          <w:rFonts w:ascii="Calibri" w:hAnsi="Calibri"/>
          <w:sz w:val="24"/>
        </w:rPr>
        <w:t>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2B06045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El sistema muestra un mensaje de error informando al usuario de que no ha logrado comunicarse con la </w:t>
      </w:r>
      <w:r w:rsidR="00ED782B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652F1A3F" w:rsidR="00E8461C" w:rsidRDefault="00E8461C" w:rsidP="00DE54B2">
      <w:pPr>
        <w:ind w:left="708"/>
        <w:rPr>
          <w:rFonts w:ascii="Calibri" w:hAnsi="Calibri"/>
          <w:sz w:val="24"/>
        </w:rPr>
      </w:pPr>
    </w:p>
    <w:p w14:paraId="61317C27" w14:textId="638E8943" w:rsidR="00ED782B" w:rsidRPr="00E8461C" w:rsidRDefault="00ED782B" w:rsidP="00ED782B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 prueba no se va a ejecutar.</w:t>
      </w: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727967F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  <w:r w:rsidR="00CD6184">
        <w:rPr>
          <w:rFonts w:ascii="Calibri" w:hAnsi="Calibri"/>
          <w:sz w:val="24"/>
        </w:rPr>
        <w:t>.</w:t>
      </w:r>
    </w:p>
    <w:p w14:paraId="437A4B0C" w14:textId="3A01CF4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  <w:r w:rsidR="00CD6184">
        <w:rPr>
          <w:rFonts w:ascii="Calibri" w:hAnsi="Calibri"/>
          <w:sz w:val="24"/>
        </w:rPr>
        <w:t>.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695C5F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  <w:r w:rsidR="00CD6184">
        <w:rPr>
          <w:rFonts w:ascii="Calibri" w:hAnsi="Calibri"/>
          <w:sz w:val="24"/>
        </w:rPr>
        <w:t>.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2AD89C21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al usuario de que ha ocurrido un error.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proofErr w:type="spellStart"/>
      <w:r w:rsidR="00C330C3">
        <w:rPr>
          <w:rFonts w:ascii="Calibri" w:hAnsi="Calibri"/>
          <w:b/>
          <w:bCs/>
          <w:sz w:val="24"/>
          <w:u w:val="single"/>
        </w:rPr>
        <w:t>presenter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A6D5A1D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 w:rsidR="00C330C3">
        <w:rPr>
          <w:rFonts w:ascii="Calibri" w:hAnsi="Calibri"/>
          <w:b/>
          <w:bCs/>
          <w:sz w:val="24"/>
        </w:rPr>
        <w:t>PresenterGasoliner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0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  <w:proofErr w:type="gramEnd"/>
          </w:p>
        </w:tc>
        <w:tc>
          <w:tcPr>
            <w:tcW w:w="3506" w:type="dxa"/>
          </w:tcPr>
          <w:p w14:paraId="4AEB138E" w14:textId="154F9378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</w:t>
            </w:r>
            <w:r w:rsidR="009B078A">
              <w:rPr>
                <w:szCs w:val="24"/>
              </w:rPr>
              <w:t>en</w:t>
            </w:r>
            <w:r w:rsidRPr="00B86EE0">
              <w:rPr>
                <w:szCs w:val="24"/>
              </w:rPr>
              <w:t xml:space="preserve">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2B83DE7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2423CFD5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0746D6F3" w:rsidR="00153156" w:rsidRPr="00CF4C95" w:rsidRDefault="00313A90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No realizar ningún cambio en el combustible por defecto de la aplicación.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67959948" w:rsidR="00D218FC" w:rsidRPr="00CF4C95" w:rsidRDefault="007C49D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UT.1d</w:t>
            </w:r>
          </w:p>
        </w:tc>
        <w:tc>
          <w:tcPr>
            <w:tcW w:w="3506" w:type="dxa"/>
          </w:tcPr>
          <w:p w14:paraId="6D53911B" w14:textId="77710ED4" w:rsidR="00D218FC" w:rsidRPr="00CF4C95" w:rsidRDefault="00C330C3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</w:t>
            </w:r>
            <w:r w:rsidR="00D218F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  <w:r w:rsidR="00FE472E"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2552" w:type="dxa"/>
          </w:tcPr>
          <w:p w14:paraId="39F2BB42" w14:textId="72639FEE" w:rsidR="00D218FC" w:rsidRPr="00CF4C95" w:rsidRDefault="00FE472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No realizar ningún cambio</w:t>
            </w:r>
            <w:r w:rsidR="009D0AA2">
              <w:rPr>
                <w:rFonts w:ascii="Calibri" w:hAnsi="Calibri" w:cs="Calibri"/>
                <w:sz w:val="24"/>
              </w:rPr>
              <w:t xml:space="preserve"> en el combustible por defecto de la aplicación.</w:t>
            </w:r>
          </w:p>
        </w:tc>
      </w:tr>
    </w:tbl>
    <w:p w14:paraId="4792EB92" w14:textId="5048D7AE" w:rsidR="00153156" w:rsidRPr="00CF4C95" w:rsidRDefault="00153156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  <w:proofErr w:type="gramEnd"/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proofErr w:type="spellStart"/>
      <w:r w:rsidRPr="00CF4C95">
        <w:rPr>
          <w:rFonts w:ascii="Calibri" w:hAnsi="Calibri" w:cs="Calibri"/>
          <w:color w:val="4472C4" w:themeColor="accent1"/>
        </w:rPr>
        <w:t>meotdo</w:t>
      </w:r>
      <w:proofErr w:type="spellEnd"/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que realizar por </w:t>
            </w:r>
            <w:proofErr w:type="spellStart"/>
            <w:r>
              <w:rPr>
                <w:b/>
                <w:bCs/>
              </w:rPr>
              <w:t>Espresso</w:t>
            </w:r>
            <w:proofErr w:type="spellEnd"/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CA411" w14:textId="77777777" w:rsidR="00D01394" w:rsidRDefault="00D01394" w:rsidP="00595F11">
      <w:r>
        <w:separator/>
      </w:r>
    </w:p>
  </w:endnote>
  <w:endnote w:type="continuationSeparator" w:id="0">
    <w:p w14:paraId="2C02CC2F" w14:textId="77777777" w:rsidR="00D01394" w:rsidRDefault="00D01394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70038" w14:textId="77777777" w:rsidR="00D01394" w:rsidRDefault="00D01394" w:rsidP="00595F11">
      <w:r>
        <w:separator/>
      </w:r>
    </w:p>
  </w:footnote>
  <w:footnote w:type="continuationSeparator" w:id="0">
    <w:p w14:paraId="72AC3B51" w14:textId="77777777" w:rsidR="00D01394" w:rsidRDefault="00D01394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00022"/>
    <w:rsid w:val="0001562D"/>
    <w:rsid w:val="00023D17"/>
    <w:rsid w:val="00045D3B"/>
    <w:rsid w:val="0008493E"/>
    <w:rsid w:val="0009305E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13A90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62233"/>
    <w:rsid w:val="00684A74"/>
    <w:rsid w:val="007167FA"/>
    <w:rsid w:val="00717D79"/>
    <w:rsid w:val="0075603E"/>
    <w:rsid w:val="00757F0B"/>
    <w:rsid w:val="00763ED4"/>
    <w:rsid w:val="007C49DE"/>
    <w:rsid w:val="007D76DF"/>
    <w:rsid w:val="007E784E"/>
    <w:rsid w:val="00811DDD"/>
    <w:rsid w:val="008522D0"/>
    <w:rsid w:val="008A38B8"/>
    <w:rsid w:val="009421C9"/>
    <w:rsid w:val="009B078A"/>
    <w:rsid w:val="009B0DE0"/>
    <w:rsid w:val="009D0AA2"/>
    <w:rsid w:val="00A11D7B"/>
    <w:rsid w:val="00A27F69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330C3"/>
    <w:rsid w:val="00CD6184"/>
    <w:rsid w:val="00CF14E3"/>
    <w:rsid w:val="00CF4C95"/>
    <w:rsid w:val="00D01394"/>
    <w:rsid w:val="00D16C0C"/>
    <w:rsid w:val="00D218FC"/>
    <w:rsid w:val="00D872B7"/>
    <w:rsid w:val="00DD28CA"/>
    <w:rsid w:val="00DE29C5"/>
    <w:rsid w:val="00DE54B2"/>
    <w:rsid w:val="00E65015"/>
    <w:rsid w:val="00E8461C"/>
    <w:rsid w:val="00EA00DE"/>
    <w:rsid w:val="00ED782B"/>
    <w:rsid w:val="00EE06C9"/>
    <w:rsid w:val="00EE6A1D"/>
    <w:rsid w:val="00F313C2"/>
    <w:rsid w:val="00F32E9B"/>
    <w:rsid w:val="00F42D99"/>
    <w:rsid w:val="00F5518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1328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45</cp:revision>
  <dcterms:created xsi:type="dcterms:W3CDTF">2020-11-07T16:31:00Z</dcterms:created>
  <dcterms:modified xsi:type="dcterms:W3CDTF">2020-11-16T21:39:00Z</dcterms:modified>
</cp:coreProperties>
</file>