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AAD98">
      <w:pPr>
        <w:pStyle w:val="2"/>
      </w:pPr>
      <w:r>
        <w:t>Thesis structure and Defended Thesis</w:t>
      </w:r>
    </w:p>
    <w:p w14:paraId="11A26EF9">
      <w:r>
        <w:t>Your thesis follows this structure: introduction with all formal elements, four chapters each ending with a summary, conclusions, literature, appendices. Page counts are guides, not rules.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1"/>
        <w:gridCol w:w="4920"/>
        <w:gridCol w:w="869"/>
      </w:tblGrid>
      <w:tr w14:paraId="4179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71" w:type="dxa"/>
            <w:shd w:val="clear" w:color="auto" w:fill="F2F2F2"/>
          </w:tcPr>
          <w:p w14:paraId="1F87F643">
            <w:r>
              <w:t>Part</w:t>
            </w:r>
          </w:p>
        </w:tc>
        <w:tc>
          <w:tcPr>
            <w:tcW w:w="4920" w:type="dxa"/>
            <w:shd w:val="clear" w:color="auto" w:fill="F2F2F2"/>
          </w:tcPr>
          <w:p w14:paraId="3DFF3DD5">
            <w:r>
              <w:t>Content for your topic</w:t>
            </w:r>
          </w:p>
        </w:tc>
        <w:tc>
          <w:tcPr>
            <w:tcW w:w="869" w:type="dxa"/>
            <w:shd w:val="clear" w:color="auto" w:fill="F2F2F2"/>
          </w:tcPr>
          <w:p w14:paraId="03F3F7E3">
            <w:r>
              <w:t>Pages</w:t>
            </w:r>
          </w:p>
        </w:tc>
      </w:tr>
      <w:tr w14:paraId="46BB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6C7D4ABC">
            <w:r>
              <w:t>Front matter</w:t>
            </w:r>
          </w:p>
        </w:tc>
        <w:tc>
          <w:tcPr>
            <w:tcW w:w="4920" w:type="dxa"/>
          </w:tcPr>
          <w:p w14:paraId="1DA90CDA">
            <w:r>
              <w:t>Title pages LV/EN, abstract LV/EN, keywords, contents, lists of figures and tables</w:t>
            </w:r>
          </w:p>
        </w:tc>
        <w:tc>
          <w:tcPr>
            <w:tcW w:w="869" w:type="dxa"/>
          </w:tcPr>
          <w:p w14:paraId="795ED917">
            <w:r>
              <w:t>—</w:t>
            </w:r>
          </w:p>
        </w:tc>
      </w:tr>
      <w:tr w14:paraId="2A3B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17060988">
            <w:r>
              <w:t>Introduction</w:t>
            </w:r>
          </w:p>
        </w:tc>
        <w:tc>
          <w:tcPr>
            <w:tcW w:w="4920" w:type="dxa"/>
          </w:tcPr>
          <w:p w14:paraId="5DA87348">
            <w:r>
              <w:t>Topicality, aim, object, subject, research problem, tasks, hypotheses (copy from your application), methods, description of the prototype, practical value, approbation, defended thesis, structure</w:t>
            </w:r>
          </w:p>
        </w:tc>
        <w:tc>
          <w:tcPr>
            <w:tcW w:w="869" w:type="dxa"/>
          </w:tcPr>
          <w:p w14:paraId="225B78EF">
            <w:r>
              <w:t>5–7</w:t>
            </w:r>
          </w:p>
        </w:tc>
      </w:tr>
      <w:tr w14:paraId="612F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3C03C1C1">
            <w:r>
              <w:t>1 Literature review and theoretical background</w:t>
            </w:r>
          </w:p>
        </w:tc>
        <w:tc>
          <w:tcPr>
            <w:tcW w:w="4920" w:type="dxa"/>
          </w:tcPr>
          <w:p w14:paraId="772CD04B">
            <w:r>
              <w:t>SAP evolution ECC → S/4HANA → RISE → Embrace; hyperscaler models; cloud provider selection studies; AHP, TOPSIS; Design Science Research; table comparing existing approaches (vendor calculators, analyst reports, academic MCDA models) showing the gap</w:t>
            </w:r>
          </w:p>
        </w:tc>
        <w:tc>
          <w:tcPr>
            <w:tcW w:w="869" w:type="dxa"/>
          </w:tcPr>
          <w:p w14:paraId="0D3FBC85">
            <w:r>
              <w:t>12–18</w:t>
            </w:r>
          </w:p>
        </w:tc>
      </w:tr>
      <w:tr w14:paraId="6FD1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054127C0">
            <w:r>
              <w:t>2 Case and system analysis</w:t>
            </w:r>
          </w:p>
        </w:tc>
        <w:tc>
          <w:tcPr>
            <w:tcW w:w="4920" w:type="dxa"/>
          </w:tcPr>
          <w:p w14:paraId="2F9EB2EA">
            <w:r>
              <w:t>Decision context; stakeholders (CIO, SAP architect, procurement); functional requirements (inputs, 4 output screens); non-functional (every number traceable to a dated source, reproducible); constraints and risks, including how RISE bundles infrastructure cost</w:t>
            </w:r>
          </w:p>
        </w:tc>
        <w:tc>
          <w:tcPr>
            <w:tcW w:w="869" w:type="dxa"/>
          </w:tcPr>
          <w:p w14:paraId="76427D64">
            <w:r>
              <w:t>6–10</w:t>
            </w:r>
          </w:p>
        </w:tc>
      </w:tr>
      <w:tr w14:paraId="6F58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4ECF288D">
            <w:r>
              <w:t>3 Development and experiment</w:t>
            </w:r>
          </w:p>
        </w:tc>
        <w:tc>
          <w:tcPr>
            <w:tcW w:w="4920" w:type="dxa"/>
          </w:tcPr>
          <w:p w14:paraId="7C537C51">
            <w:r>
              <w:t>Three-layer architecture; data layer (</w:t>
            </w:r>
            <w:r>
              <w:rPr>
                <w:rStyle w:val="6"/>
              </w:rPr>
              <w:t>normalisation.csv</w:t>
            </w:r>
            <w:r>
              <w:t xml:space="preserve">, </w:t>
            </w:r>
            <w:r>
              <w:rPr>
                <w:rStyle w:val="6"/>
              </w:rPr>
              <w:t>prices.csv</w:t>
            </w:r>
            <w:r>
              <w:t xml:space="preserve">, </w:t>
            </w:r>
            <w:r>
              <w:rPr>
                <w:rStyle w:val="6"/>
              </w:rPr>
              <w:t>criteria.csv</w:t>
            </w:r>
            <w:r>
              <w:t>); cost engine formulas; AHP with CR; TOPSIS; results for reference profile(s); back-test on cases; sensitivity and switch-points; test of H1 and H2</w:t>
            </w:r>
          </w:p>
        </w:tc>
        <w:tc>
          <w:tcPr>
            <w:tcW w:w="869" w:type="dxa"/>
          </w:tcPr>
          <w:p w14:paraId="29D51A20">
            <w:r>
              <w:t>15–20</w:t>
            </w:r>
          </w:p>
        </w:tc>
      </w:tr>
      <w:tr w14:paraId="1909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1F8F18AA">
            <w:r>
              <w:t>4 Discussion and development</w:t>
            </w:r>
          </w:p>
        </w:tc>
        <w:tc>
          <w:tcPr>
            <w:tcW w:w="4920" w:type="dxa"/>
          </w:tcPr>
          <w:p w14:paraId="4FB207B3">
            <w:r>
              <w:t>Mismatch analysis (why companies chose differently from the tool); comparison with one vendor calculator; limitations; future improvements</w:t>
            </w:r>
          </w:p>
        </w:tc>
        <w:tc>
          <w:tcPr>
            <w:tcW w:w="869" w:type="dxa"/>
          </w:tcPr>
          <w:p w14:paraId="7BDE44FA">
            <w:r>
              <w:t>5–8</w:t>
            </w:r>
          </w:p>
        </w:tc>
      </w:tr>
      <w:tr w14:paraId="1334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0D51B31F">
            <w:r>
              <w:t>Conclusions</w:t>
            </w:r>
          </w:p>
        </w:tc>
        <w:tc>
          <w:tcPr>
            <w:tcW w:w="4920" w:type="dxa"/>
          </w:tcPr>
          <w:p w14:paraId="1251764B">
            <w:r>
              <w:t>One answer per task, H1/H2 verdict, defended thesis confirmed</w:t>
            </w:r>
          </w:p>
        </w:tc>
        <w:tc>
          <w:tcPr>
            <w:tcW w:w="869" w:type="dxa"/>
          </w:tcPr>
          <w:p w14:paraId="5A33E067">
            <w:r>
              <w:t>2–3</w:t>
            </w:r>
          </w:p>
        </w:tc>
      </w:tr>
      <w:tr w14:paraId="2425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1" w:type="dxa"/>
          </w:tcPr>
          <w:p w14:paraId="6A110F52">
            <w:r>
              <w:t>Appendices</w:t>
            </w:r>
          </w:p>
        </w:tc>
        <w:tc>
          <w:tcPr>
            <w:tcW w:w="4920" w:type="dxa"/>
          </w:tcPr>
          <w:p w14:paraId="2B85BD11">
            <w:r>
              <w:t xml:space="preserve">Link to the GitHub repository and the GitHub Pages prototype, full normalisation table, </w:t>
            </w:r>
            <w:r>
              <w:rPr>
                <w:rStyle w:val="6"/>
              </w:rPr>
              <w:t>prices.csv</w:t>
            </w:r>
            <w:r>
              <w:t xml:space="preserve"> with sources and snapshot date, AHP matrices, case profiles</w:t>
            </w:r>
          </w:p>
        </w:tc>
        <w:tc>
          <w:tcPr>
            <w:tcW w:w="869" w:type="dxa"/>
          </w:tcPr>
          <w:p w14:paraId="44B30DD1">
            <w:r>
              <w:t>—</w:t>
            </w:r>
          </w:p>
        </w:tc>
      </w:tr>
    </w:tbl>
    <w:p w14:paraId="5C16ACC3">
      <w:r>
        <w:rPr>
          <w:b/>
        </w:rPr>
        <w:t>Defended Thesis (draft — refine after phase 6):</w:t>
      </w:r>
    </w:p>
    <w:p w14:paraId="6CEEA36E">
      <w:pPr>
        <w:pStyle w:val="8"/>
        <w:numPr>
          <w:ilvl w:val="0"/>
          <w:numId w:val="1"/>
        </w:numPr>
      </w:pPr>
      <w:r>
        <w:t>Has been offered a three-layer decision-support prototype that combines a range-based, source-referenced cost model with multi-criteria analysis for comparing the AWS, Microsoft Azure and Google Cloud pathways under SAP Embrace.</w:t>
      </w:r>
    </w:p>
    <w:p w14:paraId="1A00B710">
      <w:pPr>
        <w:pStyle w:val="8"/>
        <w:numPr>
          <w:ilvl w:val="0"/>
          <w:numId w:val="1"/>
        </w:numPr>
      </w:pPr>
      <w:r>
        <w:t>Has been modified the AHP-based multi-criteria selection method for the hyperscaler selection task, by adding a service normalisation table that maps differently named and differently measured services of the three providers to common comparison units.</w:t>
      </w:r>
    </w:p>
    <w:p w14:paraId="287B9D48">
      <w:pPr>
        <w:pStyle w:val="8"/>
        <w:numPr>
          <w:ilvl w:val="0"/>
          <w:numId w:val="1"/>
        </w:numPr>
      </w:pPr>
      <w:r>
        <w:t>Has been suggested a validation methodology for such tools that combines back-testing against documented enterprise migrations, mismatch analysis and sensitivity switch-points.</w:t>
      </w:r>
    </w:p>
    <w:p w14:paraId="67F3BB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6B56ED"/>
    <w:multiLevelType w:val="multilevel"/>
    <w:tmpl w:val="206B56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84ADB"/>
    <w:rsid w:val="6398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spacing w:before="280" w:after="100"/>
      <w:outlineLvl w:val="1"/>
    </w:pPr>
    <w:rPr>
      <w:b/>
      <w:sz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Code Char"/>
    <w:link w:val="7"/>
    <w:uiPriority w:val="0"/>
    <w:rPr>
      <w:rFonts w:ascii="Consolas" w:hAnsi="Consolas" w:eastAsia="Consolas" w:cs="Consolas"/>
      <w:sz w:val="20"/>
    </w:rPr>
  </w:style>
  <w:style w:type="paragraph" w:customStyle="1" w:styleId="7">
    <w:name w:val="Code"/>
    <w:basedOn w:val="1"/>
    <w:link w:val="6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paragraph" w:styleId="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2026-10-19T16:09:00Z</dcterms:created>
  <dc:creator>Isuri Dayara Indrarathna Don M</dc:creator>
  <cp:lastModifiedBy>Isuri Dayara Indrarathna Don M</cp:lastModifiedBy>
  <dcterms:modified xsi:type="dcterms:W3CDTF">2026-10-19T16:10:07Z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7882ECFB8BE842F9BEA919D7E9C95886_11</vt:lpwstr>
  </property>
  <property fmtid="{D5CDD505-2E9C-101B-9397-08002B2CF9AE}" pid="4" name="KSOTemplateDocerSaveRecord">
    <vt:lpwstr>eyJoZGlkIjoiNmUyZDkxYTg4YTNhNWQyZjA0MzdiYjNjMTk1NGRjNmUiLCJ1c2VySWQiOiIzNzI4NTI5NjgwMDY3In0=</vt:lpwstr>
  </property>
</Properties>
</file>