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color w:val="006699"/>
          <w:sz w:val="30"/>
        </w:rPr>
        <w:t>9.2 Remaining Tasks &amp; Future Technical Implementations</w:t>
      </w:r>
    </w:p>
    <w:p>
      <w:r>
        <w:t>While the current prototype successfully validates the core interception and scoring mechanisms, the final phase of the project will focus on elevating the framework to production-grade enterprise standards. The following critical technical implementations are scheduled for the remaining project timeline (Milestones 3 and 4):</w:t>
      </w:r>
    </w:p>
    <w:p>
      <w:pPr>
        <w:keepNext/>
        <w:spacing w:before="240" w:after="120"/>
      </w:pPr>
      <w:r>
        <w:rPr>
          <w:rFonts w:ascii="Times New Roman" w:hAnsi="Times New Roman"/>
          <w:b/>
          <w:color w:val="333333"/>
          <w:sz w:val="26"/>
        </w:rPr>
        <w:t>1. Database Migration &amp; Relational WRSE Mapping</w:t>
      </w:r>
    </w:p>
    <w:p>
      <w:r>
        <w:t>Currently, the NLP engine indexes sensitive data using 15 static CSV Master Asset sheets loaded into memory upon boot. To ensure long-term scalability and structured data governance, this architecture will be migrated into a fully normalized Relational Database Management System (RDBMS). This migration will establish strict foreign-key relationships, directly linking exposed asset IDs to historical WRSE risk scores and specific user identities, enabling deep temporal forensic auditing.</w:t>
      </w:r>
    </w:p>
    <w:p>
      <w:pPr>
        <w:keepNext/>
        <w:spacing w:before="240" w:after="120"/>
      </w:pPr>
      <w:r>
        <w:rPr>
          <w:rFonts w:ascii="Times New Roman" w:hAnsi="Times New Roman"/>
          <w:b/>
          <w:color w:val="333333"/>
          <w:sz w:val="26"/>
        </w:rPr>
        <w:t>2. WRSE Accuracy Optimization</w:t>
      </w:r>
    </w:p>
    <w:p>
      <w:r>
        <w:t>The Weighted Risk Scoring Engine (WRSE) will undergo rigorous mathematical calibration to improve its detection accuracy and minimize false-positive alert fatigue. This involves refining the Natural Language Processing (NLP) TF-IDF algorithms and dynamically adjusting the User Authority Weight (Wu) and Destination Trust (Wd) coefficients based on historical traffic baselines.</w:t>
      </w:r>
    </w:p>
    <w:p>
      <w:pPr>
        <w:keepNext/>
        <w:spacing w:before="240" w:after="120"/>
      </w:pPr>
      <w:r>
        <w:rPr>
          <w:rFonts w:ascii="Times New Roman" w:hAnsi="Times New Roman"/>
          <w:b/>
          <w:color w:val="333333"/>
          <w:sz w:val="26"/>
        </w:rPr>
        <w:t>3. Automated Background Service Daemonization</w:t>
      </w:r>
    </w:p>
    <w:p>
      <w:r>
        <w:t>In the current mid-stage prototype, the mitmproxy ingestion kernel and the Streamlit UI dashboard require manual initialization via distinct terminal commands. To deploy ContextGuard as a seamless, 'always-on' enterprise security layer, these discrete scripts will be encapsulated into automated background system services (e.g., systemd daemons). This will allow the framework to autonomously initialize upon server boot without requiring manual administrator intervention or active terminal instances.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