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Times New Roman" w:hAnsi="Times New Roman"/>
          <w:b/>
          <w:color w:val="003366"/>
          <w:sz w:val="36"/>
        </w:rPr>
        <w:t>5.3 Tools, Techniques, Technologies Selected and Justification</w:t>
      </w:r>
    </w:p>
    <w:p>
      <w:r>
        <w:t>The operational transition from a theoretical framework into an enterprise-grade Zero-Trust prototype required an expanded technical stack. In addition to the foundational data science libraries, several specialized network interception, database persistence, and cryptographic modules were integrated into the production environment.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006699"/>
          <w:sz w:val="30"/>
        </w:rPr>
        <w:t>Expanded Technical Stack &amp; Library Justification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448"/>
        <w:gridCol w:w="5040"/>
      </w:tblGrid>
      <w:tr>
        <w:tc>
          <w:tcPr>
            <w:tcW w:type="dxa" w:w="3120"/>
            <w:shd w:fill="003366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color w:val="FFFFFF"/>
              </w:rPr>
              <w:t>Category</w:t>
            </w:r>
          </w:p>
        </w:tc>
        <w:tc>
          <w:tcPr>
            <w:tcW w:type="dxa" w:w="3120"/>
            <w:shd w:fill="003366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color w:val="FFFFFF"/>
              </w:rPr>
              <w:t>Tool / Library</w:t>
            </w:r>
          </w:p>
        </w:tc>
        <w:tc>
          <w:tcPr>
            <w:tcW w:type="dxa" w:w="3120"/>
            <w:shd w:fill="003366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color w:val="FFFFFF"/>
              </w:rPr>
              <w:t>Technical Purpose &amp; Justification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Core Engine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Python 3.10+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</w:rPr>
              <w:t>Primary programming language chosen for its extensive asynchronous networking capabilities, robust standard libraries, and seamless integration with ML/NLP frameworks.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Network Interception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mitmproxy (mitmproxy.http)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</w:rPr>
              <w:t>Core proxy kernel utilized in live_mitm_logger.py to establish a Man-in-the-Middle inspection plane on the host machine. It transparently intercepts and exposes outbound TLS-encrypted HTTPS POST flows directed at unmanaged AI endpoints (chatgpt.com, gemini.google.com).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Payload Decoding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urllib.parse &amp; json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</w:rPr>
              <w:t>Foundational modules powering the Advanced Double-Plane URL Decoding Engine. urllib.parse.unquote strips percent-encoded entities (%5B, %22, f.req=) from Google Gemini prompts, while json.loads extracts deeply nested prompt arrays from OpenAI payloads.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Data Processing &amp; Indexing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Pandas &amp; NumPy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</w:rPr>
              <w:t>Utilized in data_core.py for high-performance in-memory dataset manipulation, statistical aggregation of network metadata, and rapid loading of the 15 Master CSV asset sheets.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NLP &amp; Deep Inspection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NLTK &amp; re (Regex Engine)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</w:rPr>
              <w:t>Serves as the central intelligence engine for the content inspection layer. The re module executes multi-pass regex normalization (forensic_normalize), while NLTK handles tokenization and TF-IDF weighting for the Sensitivity Score (S).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Database Persistence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SQLite3 (sqlite3)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</w:rPr>
              <w:t>Lightweight, serverless relational database engine utilized in components.py and auth.py (users.db). It provides atomic state persistence for the monitor_status table, ensuring investigation states (Open, In Progress, Close) remain locked across hard browser reloads.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Zero-Trust Security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uuid &amp; Server Storage (/tmp)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</w:rPr>
              <w:t>Powers the bespoke session persistence architecture in auth.py. uuid.uuid4() generates cryptographically secure session identification tokens (_sid) stored in /tmp/shadowai_sessions/, preserving administrative sessions across page refreshes (F5).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Dashboarding &amp; UI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Streamlit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</w:rPr>
              <w:t>Rapid frontend deployment framework providing the administrative Security Operations Center (SOC) interface, real-time threat feed rendering, and visual telemetry charts.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Custom Aesthetics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HTML5 &amp; Custom CSS Injection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</w:rPr>
              <w:t>Over 1,090 lines of bespoke CSS (THREATMON_CSS in styles.py) injected via st.markdown(unsafe_allow_html=True). It overrides native BaseWeb containers to implement premium glassmorphism panels, dark backdrops, glowing risk borders, and micro-animations.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IDE &amp; Version Control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</w:rPr>
              <w:t>VS Code &amp; Git</w:t>
            </w:r>
          </w:p>
        </w:tc>
        <w:tc>
          <w:tcPr>
            <w:tcW w:type="dxa" w:w="50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</w:rPr>
              <w:t>Integrated development environment and versioning infrastructure utilized for modular scripting, debugging, and maintaining an immutable audit trail of source code changes.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