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t xml:space="preserve"/>
      </w:r>
    </w:p>
    <w:p>
      <w:pPr>
        <w:spacing w:before="100" w:after="60"/>
        <w:jc w:val="center"/>
      </w:pPr>
      <w:r>
        <w:rPr>
          <w:rFonts w:ascii="Arial" w:cs="Arial" w:eastAsia="Arial" w:hAnsi="Arial"/>
          <w:b/>
          <w:bCs/>
          <w:color w:val="1F3864"/>
          <w:sz w:val="72"/>
          <w:szCs w:val="72"/>
        </w:rPr>
        <w:t xml:space="preserve">RUIT CBE</w:t>
      </w:r>
    </w:p>
    <w:p>
      <w:pPr>
        <w:spacing w:before="0" w:after="60"/>
        <w:jc w:val="center"/>
      </w:pPr>
      <w:r>
        <w:rPr>
          <w:rFonts w:ascii="Arial" w:cs="Arial" w:eastAsia="Arial" w:hAnsi="Arial"/>
          <w:b/>
          <w:bCs/>
          <w:color w:val="2E75B6"/>
          <w:sz w:val="40"/>
          <w:szCs w:val="40"/>
        </w:rPr>
        <w:t xml:space="preserve">PRD FINAL EDITS</w:t>
      </w:r>
    </w:p>
    <w:p>
      <w:pPr>
        <w:spacing w:before="0" w:after="60"/>
        <w:jc w:val="center"/>
      </w:pPr>
      <w:r>
        <w:rPr>
          <w:rFonts w:ascii="Arial" w:cs="Arial" w:eastAsia="Arial" w:hAnsi="Arial"/>
          <w:color w:val="555555"/>
          <w:sz w:val="22"/>
          <w:szCs w:val="22"/>
        </w:rPr>
        <w:t xml:space="preserve">Amendments to Technical Architecture PRD v3.0</w:t>
      </w:r>
    </w:p>
    <w:p>
      <w:pPr>
        <w:pBdr>
          <w:top w:val="single" w:color="CCCCCC" w:sz="4"/>
          <w:bottom w:val="single" w:color="CCCCCC" w:sz="4"/>
        </w:pBdr>
        <w:spacing w:before="120" w:after="120"/>
        <w:jc w:val="center"/>
      </w:pPr>
      <w:r>
        <w:rPr>
          <w:rFonts w:ascii="Arial" w:cs="Arial" w:eastAsia="Arial" w:hAnsi="Arial"/>
          <w:color w:val="888888"/>
          <w:sz w:val="18"/>
          <w:szCs w:val="18"/>
        </w:rPr>
        <w:t xml:space="preserve">9 Targeted Edits  ·  Do Not Regenerate PRD  ·  Apply These Patches Directly</w:t>
      </w:r>
    </w:p>
    <w:p>
      <w:pPr>
        <w:spacing w:before="2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HOW TO USE THIS DOCUMENT</w:t>
            </w:r>
          </w:p>
          <w:p>
            <w:pPr>
              <w:spacing w:before="0" w:after="0"/>
            </w:pPr>
            <w:r>
              <w:rPr>
                <w:rFonts w:ascii="Arial" w:cs="Arial" w:eastAsia="Arial" w:hAnsi="Arial"/>
                <w:color w:val="333333"/>
                <w:sz w:val="20"/>
                <w:szCs w:val="20"/>
              </w:rPr>
              <w:t xml:space="preserve">This document contains 9 precise amendments to PRD v3.0. Each edit is self-contained: it states WHERE in the PRD to apply it, WHAT to change, and the EXACT new text or code. Apply each amendment in section order. The PRD v3.0 remains the base document — these are patches, not a replacement.</w:t>
            </w:r>
          </w:p>
        </w:tc>
      </w:tr>
    </w:tbl>
    <w:p>
      <w:pPr>
        <w:spacing w:before="80" w:after="80"/>
      </w:pPr>
      <w:r>
        <w:t xml:space="preserve"/>
      </w:r>
    </w:p>
    <w:p>
      <w:pPr>
        <w:pStyle w:val="Heading1"/>
        <w:pBdr>
          <w:bottom w:val="single" w:color="2E75B6" w:sz="10" w:space="4"/>
        </w:pBdr>
        <w:spacing w:before="400" w:after="200"/>
      </w:pPr>
      <w:r>
        <w:rPr>
          <w:rFonts w:ascii="Arial" w:cs="Arial" w:eastAsia="Arial" w:hAnsi="Arial"/>
          <w:b/>
          <w:bCs/>
          <w:color w:val="1F3864"/>
          <w:sz w:val="32"/>
          <w:szCs w:val="32"/>
        </w:rPr>
        <w:t xml:space="preserve">EDIT INDEX</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3000"/>
        <w:gridCol w:w="23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Edit Title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PRD Section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Trust Score Decay Model Abstraction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Section 7.1 — Engine 1: Trust Score Formula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CRITICAL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COD Discrepancy Rate for Drivers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Section 7.1 — Engine 1: Trust Score Formula</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CRITICAL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Tier 5 Manual Approval Gate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Section 7.1 — Engine 1: Trust Tier Matrix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CRITICAL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Margin Normalization Relative to Corridor Stats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Section 7.2 — Engine 2: WDM Logic</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CRITICAL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Backhaul Confidence Weighting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Section 7.2 — Engine 2: WDM Logic</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CRITICAL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ExposureRisk Must Include Contingent Liabilities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Section 7.3 — Engine 4: Liquidity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CRITICAL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Smooth Pricing Curves — Remove Binary Thresholds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Section 7.2 — Engine 2: Pricing Formula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IMPORTANT</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8</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USSD Delivery Abuse Prevention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Section 9 — USSD Fallback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IMPORTANT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Shock Mode Price Gouging Cap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Section 7.4 — Engine 5: Shock Mode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IMPORTANT</w:t>
            </w:r>
          </w:p>
        </w:tc>
      </w:tr>
    </w:tbl>
    <w:p>
      <w:pPr>
        <w:spacing w:before="80" w:after="80"/>
      </w:pPr>
      <w:r>
        <w:t xml:space="preserve"/>
      </w:r>
    </w:p>
    <w:p>
      <w:r>
        <w:br w:type="page"/>
      </w:r>
    </w:p>
    <w:p>
      <w:pPr>
        <w:pStyle w:val="Heading1"/>
        <w:pBdr>
          <w:bottom w:val="single" w:color="2E75B6" w:sz="10" w:space="4"/>
        </w:pBdr>
        <w:spacing w:before="400" w:after="200"/>
      </w:pPr>
      <w:r>
        <w:rPr>
          <w:rFonts w:ascii="Arial" w:cs="Arial" w:eastAsia="Arial" w:hAnsi="Arial"/>
          <w:b/>
          <w:bCs/>
          <w:color w:val="1F3864"/>
          <w:sz w:val="32"/>
          <w:szCs w:val="32"/>
        </w:rPr>
        <w:t xml:space="preserve">EDIT 1 — Trust Score Decay Model Abstraction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F3864"/>
                <w:sz w:val="18"/>
                <w:szCs w:val="18"/>
              </w:rPr>
              <w:t xml:space="preserve">Section 7.1</w:t>
            </w:r>
          </w:p>
          <w:p>
            <w:r>
              <w:rPr>
                <w:rFonts w:ascii="Arial" w:cs="Arial" w:eastAsia="Arial" w:hAnsi="Arial"/>
                <w:color w:val="555555"/>
                <w:sz w:val="16"/>
                <w:szCs w:val="16"/>
              </w:rPr>
              <w:t xml:space="preserve">REPLACE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Engine 1: Trust Score Formula — behavioral metric definitions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7"/>
                <w:szCs w:val="17"/>
              </w:rPr>
              <w:t xml:space="preserve">🔴 CRITICAL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WHY THIS MATTERS</w:t>
            </w:r>
          </w:p>
          <w:p>
            <w:pPr>
              <w:spacing w:before="0" w:after="0"/>
            </w:pPr>
            <w:r>
              <w:rPr>
                <w:rFonts w:ascii="Arial" w:cs="Arial" w:eastAsia="Arial" w:hAnsi="Arial"/>
                <w:color w:val="333333"/>
                <w:sz w:val="20"/>
                <w:szCs w:val="20"/>
              </w:rPr>
              <w:t xml:space="preserve">The current PRD mixes time windows: dispute_count_30d, incident_count_90d, and deviation_rate with no window. One bad month (fuel crisis, political unrest) can permanently destroy a driver's score. Trust must be memory, not punishment. Exponential decay ensures recent events matter more than old ones, and scores recover naturally over time.</w:t>
            </w:r>
          </w:p>
        </w:tc>
      </w:tr>
    </w:tbl>
    <w:p>
      <w:pPr>
        <w:spacing w:before="80" w:after="80"/>
      </w:pPr>
      <w:r>
        <w:t xml:space="preserve"/>
      </w:r>
    </w:p>
    <w:p>
      <w:pPr>
        <w:pStyle w:val="Heading3"/>
        <w:spacing w:before="200" w:after="80"/>
      </w:pPr>
      <w:r>
        <w:rPr>
          <w:rFonts w:ascii="Arial" w:cs="Arial" w:eastAsia="Arial" w:hAnsi="Arial"/>
          <w:b/>
          <w:bCs/>
          <w:color w:val="2C3E50"/>
          <w:sz w:val="21"/>
          <w:szCs w:val="21"/>
        </w:rPr>
        <w:t xml:space="preserve">Remove This (current PRD formula section)</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dispute_count_30d   // fixed window</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incident_count_90d  // fixed window, inconsistent with above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deviation_rate      // no time window defined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cancellation_rate   // no time window defined</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Replace With — Decay-Weighted Metric Abstraction</w:t>
      </w:r>
    </w:p>
    <w:p>
      <w:pPr>
        <w:spacing w:before="60" w:after="60"/>
      </w:pPr>
      <w:r>
        <w:rPr>
          <w:rFonts w:ascii="Arial" w:cs="Arial" w:eastAsia="Arial" w:hAnsi="Arial"/>
          <w:color w:val="333333"/>
          <w:sz w:val="20"/>
          <w:szCs w:val="20"/>
        </w:rPr>
        <w:t xml:space="preserve">Add the following abstraction to packages/shared-types/src/trust.ts and reference it from all trust score computations:</w:t>
      </w:r>
    </w:p>
    <w:p>
      <w:pPr>
        <w:spacing w:before="80" w:after="80"/>
      </w:pPr>
      <w: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packages/shared-types/src/trust.ts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 DECAY MODEL: All behavioral trust inputs use exponential decay.</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 Recent events weight heavily; old events fade naturally over time.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 Lambda controls decay speed: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   lambda = 0.023 → half-life ~30 days  (fast-moving signals: disputes, cancellations)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   lambda = 0.008 → half-life ~90 days  (slower signals: incident history)</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   lambda = 0.003 → half-life ~230 days (structural signals: deviation rate)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function decayWeightedScore(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events: Array&lt;{ occurred_at: Date; severity_weight: number }&gt;,</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lambda: number,</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penaltyPerEvent: number</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number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const now = Date.now();</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const totalPenalty = events.reduce((sum, e) =&gt;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const daysSince = (now - e.occurred_at.getTime()) / (1000 * 60 * 60 * 24);</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const decayFactor = Math.exp(-lambda * daysSince);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return sum + (penaltyPerEvent * e.severity_weight * decayFactor);</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 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return Math.max(0, 100 - totalPenalty);</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USAGE in trust score computation — replace all fixed-window counts: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disputeScore   = decayWeightedScore(recentDisputes,   0.023, 15);  // λ=0.023, -15pts each</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incidentScore  = decayWeightedScore(recentIncidents,  0.008, 10);  // λ=0.008, -10pts each</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deviationScore = decayWeightedScore(recentDeviations, 0.003,  5);  // λ=0.003, -5pts each</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cancelScore    = decayWeightedScore(recentCancels,    0.023,  8);  // λ=0.023, -8pts each</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Database Change — events table already supports this</w:t>
      </w:r>
    </w:p>
    <w:p>
      <w:pPr>
        <w:spacing w:before="60" w:after="60"/>
      </w:pPr>
      <w:r>
        <w:rPr>
          <w:rFonts w:ascii="Arial" w:cs="Arial" w:eastAsia="Arial" w:hAnsi="Arial"/>
          <w:color w:val="333333"/>
          <w:sz w:val="20"/>
          <w:szCs w:val="20"/>
        </w:rPr>
        <w:t xml:space="preserve">No schema change needed. The events table has created_at on every event. Query by event_type and aggregate_id with no fixed date window — apply decay in application layer. The lambda values above are defaults stored in strategy_versions.threshold_set:</w:t>
      </w:r>
    </w:p>
    <w:p>
      <w:pPr>
        <w:spacing w:before="80" w:after="80"/>
      </w:pPr>
      <w: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strategy_versions.threshold_set addition:</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"trust_decay":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"dispute_lambda": 0.023,</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"incident_lambda": 0.008,</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"deviation_lambda": 0.003,</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"cancel_lambda": 0.023,</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"dispute_penalty": 15,</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"incident_penalty": 10,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"deviation_penalty": 5,</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"cancel_penalty": 8</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RESULT</w:t>
            </w:r>
          </w:p>
          <w:p>
            <w:pPr>
              <w:spacing w:before="0" w:after="0"/>
            </w:pPr>
            <w:r>
              <w:rPr>
                <w:rFonts w:ascii="Arial" w:cs="Arial" w:eastAsia="Arial" w:hAnsi="Arial"/>
                <w:color w:val="333333"/>
                <w:sz w:val="20"/>
                <w:szCs w:val="20"/>
              </w:rPr>
              <w:t xml:space="preserve">Trust becomes memory, not punishment. A fleet owner hit by a fuel-crisis month sees their score recover over 3–4 months automatically. Lambda values are stored in strategy_versions so they can be adjusted per phase or corridor without code changes.</w:t>
            </w:r>
          </w:p>
        </w:tc>
      </w:tr>
    </w:tbl>
    <w:p>
      <w:pPr>
        <w:spacing w:before="80" w:after="80"/>
      </w:pPr>
      <w:r>
        <w:t xml:space="preserve"/>
      </w:r>
    </w:p>
    <w:p>
      <w:r>
        <w:br w:type="page"/>
      </w:r>
    </w:p>
    <w:p>
      <w:pPr>
        <w:pStyle w:val="Heading1"/>
        <w:pBdr>
          <w:bottom w:val="single" w:color="2E75B6" w:sz="10" w:space="4"/>
        </w:pBdr>
        <w:spacing w:before="400" w:after="200"/>
      </w:pPr>
      <w:r>
        <w:rPr>
          <w:rFonts w:ascii="Arial" w:cs="Arial" w:eastAsia="Arial" w:hAnsi="Arial"/>
          <w:b/>
          <w:bCs/>
          <w:color w:val="1F3864"/>
          <w:sz w:val="32"/>
          <w:szCs w:val="32"/>
        </w:rPr>
        <w:t xml:space="preserve">EDIT 2 — COD Discrepancy Rate for Drivers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F3864"/>
                <w:sz w:val="18"/>
                <w:szCs w:val="18"/>
              </w:rPr>
              <w:t xml:space="preserve">Section 7.1</w:t>
            </w:r>
          </w:p>
          <w:p>
            <w:r>
              <w:rPr>
                <w:rFonts w:ascii="Arial" w:cs="Arial" w:eastAsia="Arial" w:hAnsi="Arial"/>
                <w:color w:val="555555"/>
                <w:sz w:val="16"/>
                <w:szCs w:val="16"/>
              </w:rPr>
              <w:t xml:space="preserve">ADD FIELD + WEIGHT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Engine 1: Trust Score Formula — Driver weight profile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7"/>
                <w:szCs w:val="17"/>
              </w:rPr>
              <w:t xml:space="preserve">🔴 CRITICAL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WHY THIS MATTERS</w:t>
            </w:r>
          </w:p>
          <w:p>
            <w:pPr>
              <w:spacing w:before="0" w:after="0"/>
            </w:pPr>
            <w:r>
              <w:rPr>
                <w:rFonts w:ascii="Arial" w:cs="Arial" w:eastAsia="Arial" w:hAnsi="Arial"/>
                <w:color w:val="333333"/>
                <w:sz w:val="20"/>
                <w:szCs w:val="20"/>
              </w:rPr>
              <w:t xml:space="preserve">Drivers are blamed for COD cash leakage in Ethiopian logistics. If a driver handles physical cash and discrepancies are not tracked in their trust score, a fraud vector opens. A 5% weight on COD discrepancy rate closes this without over-penalizing drivers for orderer-side issues.</w:t>
            </w:r>
          </w:p>
        </w:tc>
      </w:tr>
    </w:tbl>
    <w:p>
      <w:pPr>
        <w:spacing w:before="80" w:after="80"/>
      </w:pPr>
      <w:r>
        <w:t xml:space="preserve"/>
      </w:r>
    </w:p>
    <w:p>
      <w:pPr>
        <w:pStyle w:val="Heading3"/>
        <w:spacing w:before="200" w:after="80"/>
      </w:pPr>
      <w:r>
        <w:rPr>
          <w:rFonts w:ascii="Arial" w:cs="Arial" w:eastAsia="Arial" w:hAnsi="Arial"/>
          <w:b/>
          <w:bCs/>
          <w:color w:val="2C3E50"/>
          <w:sz w:val="21"/>
          <w:szCs w:val="21"/>
        </w:rPr>
        <w:t xml:space="preserve">Add to drivers table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drivers table: add this column</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cod_discrepancy_count  INT DEFAULT 0,  -- times COD amount collected ≠ expected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cod_trips_total        INT DEFAULT 0,  -- total trips where driver handled COD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cod_discrepancy_rate   DECIMAL(5,2) GENERATED ALWAYS AS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(CASE WHEN cod_trips_total = 0 THEN 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ELSE cod_discrepancy_count::decimal / cod_trips_total * 100 END) STORED</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Update Driver Trust Weight Profile</w:t>
      </w:r>
    </w:p>
    <w:p>
      <w:pPr>
        <w:spacing w:before="60" w:after="60"/>
      </w:pPr>
      <w:r>
        <w:rPr>
          <w:rFonts w:ascii="Arial" w:cs="Arial" w:eastAsia="Arial" w:hAnsi="Arial"/>
          <w:color w:val="333333"/>
          <w:sz w:val="20"/>
          <w:szCs w:val="20"/>
        </w:rPr>
        <w:t xml:space="preserve">In packages/shared-types/src/trust.ts, update the driver weights object:</w:t>
      </w:r>
    </w:p>
    <w:p>
      <w:pPr>
        <w:spacing w:before="80" w:after="80"/>
      </w:pPr>
      <w: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BEFORE: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driverWeights =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onTime: 0.30, dispute: 0.20, deviation: 0.20, cancel: 0.15, incident: 0.10, anomaly: 0.05</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AFTER (rebalanced — total still = 1.00):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driverWeights =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onTime:   0.28,   // -0.02</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dispute:  0.18,   // -0.02</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deviation:0.20,   // unchanged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cancel:   0.14,   // -0.01</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incident: 0.10,   // unchanged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anomaly:  0.05,   // unchanged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codDisc:  0.05    // NEW: COD discrepancy rate (inverse)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Add to scores object in computeTrustScore():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codDisc: Math.max(0, 100 - (decayWeightedScore(codDiscrepancyEvents, 0.023, 20)))</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Add to event registry (Section 6)</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["COD_DISCREPANCY_REPORTED", "FINANCIAL", "liquidity", "identity, fraud",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"trip_id, driver_id, expected_etb, collected_etb, delta_etb"]</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RESULT</w:t>
            </w:r>
          </w:p>
          <w:p>
            <w:pPr>
              <w:spacing w:before="0" w:after="0"/>
            </w:pPr>
            <w:r>
              <w:rPr>
                <w:rFonts w:ascii="Arial" w:cs="Arial" w:eastAsia="Arial" w:hAnsi="Arial"/>
                <w:color w:val="333333"/>
                <w:sz w:val="20"/>
                <w:szCs w:val="20"/>
              </w:rPr>
              <w:t xml:space="preserve">Drivers who habitually short-collect or misreport COD face proportional trust penalties. The decay model (lambda=0.023) means a single honest mistake fades within 60 days. Repeated discrepancies compound and persist.</w:t>
            </w:r>
          </w:p>
        </w:tc>
      </w:tr>
    </w:tbl>
    <w:p>
      <w:pPr>
        <w:spacing w:before="80" w:after="80"/>
      </w:pPr>
      <w:r>
        <w:t xml:space="preserve"/>
      </w:r>
    </w:p>
    <w:p>
      <w:r>
        <w:br w:type="page"/>
      </w:r>
    </w:p>
    <w:p>
      <w:pPr>
        <w:pStyle w:val="Heading1"/>
        <w:pBdr>
          <w:bottom w:val="single" w:color="2E75B6" w:sz="10" w:space="4"/>
        </w:pBdr>
        <w:spacing w:before="400" w:after="200"/>
      </w:pPr>
      <w:r>
        <w:rPr>
          <w:rFonts w:ascii="Arial" w:cs="Arial" w:eastAsia="Arial" w:hAnsi="Arial"/>
          <w:b/>
          <w:bCs/>
          <w:color w:val="1F3864"/>
          <w:sz w:val="32"/>
          <w:szCs w:val="32"/>
        </w:rPr>
        <w:t xml:space="preserve">EDIT 3 — Tier 5 Manual Approval Gate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F3864"/>
                <w:sz w:val="18"/>
                <w:szCs w:val="18"/>
              </w:rPr>
              <w:t xml:space="preserve">Section 7.1</w:t>
            </w:r>
          </w:p>
          <w:p>
            <w:r>
              <w:rPr>
                <w:rFonts w:ascii="Arial" w:cs="Arial" w:eastAsia="Arial" w:hAnsi="Arial"/>
                <w:color w:val="555555"/>
                <w:sz w:val="16"/>
                <w:szCs w:val="16"/>
              </w:rPr>
              <w:t xml:space="preserve">ADD CONSTRAINT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Engine 1: Trust Tier Matrix — Tier 5 Partner eligibility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7"/>
                <w:szCs w:val="17"/>
              </w:rPr>
              <w:t xml:space="preserve">🔴 CRITICAL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WHY THIS MATTERS</w:t>
            </w:r>
          </w:p>
          <w:p>
            <w:pPr>
              <w:spacing w:before="0" w:after="0"/>
            </w:pPr>
            <w:r>
              <w:rPr>
                <w:rFonts w:ascii="Arial" w:cs="Arial" w:eastAsia="Arial" w:hAnsi="Arial"/>
                <w:color w:val="333333"/>
                <w:sz w:val="20"/>
                <w:szCs w:val="20"/>
              </w:rPr>
              <w:t xml:space="preserve">Tier 5 grants pre-funded payouts and a 500,000 ETB credit cap. If trust score computation has any miscalibration — even slight — automatic Tier 5 promotion creates catastrophic liquidity exposure. This must never be automatic. One manual gate protects the entire financial system.</w:t>
            </w:r>
          </w:p>
        </w:tc>
      </w:tr>
    </w:tbl>
    <w:p>
      <w:pPr>
        <w:spacing w:before="80" w:after="80"/>
      </w:pPr>
      <w:r>
        <w:t xml:space="preserve"/>
      </w:r>
    </w:p>
    <w:p>
      <w:pPr>
        <w:pStyle w:val="Heading3"/>
        <w:spacing w:before="200" w:after="80"/>
      </w:pPr>
      <w:r>
        <w:rPr>
          <w:rFonts w:ascii="Arial" w:cs="Arial" w:eastAsia="Arial" w:hAnsi="Arial"/>
          <w:b/>
          <w:bCs/>
          <w:color w:val="2C3E50"/>
          <w:sz w:val="21"/>
          <w:szCs w:val="21"/>
        </w:rPr>
        <w:t xml:space="preserve">Add to Trust Tier → Capability Matrix (Section 7.1 table)</w:t>
      </w:r>
    </w:p>
    <w:p>
      <w:pPr>
        <w:spacing w:before="60" w:after="60"/>
      </w:pPr>
      <w:r>
        <w:rPr>
          <w:rFonts w:ascii="Arial" w:cs="Arial" w:eastAsia="Arial" w:hAnsi="Arial"/>
          <w:color w:val="333333"/>
          <w:sz w:val="20"/>
          <w:szCs w:val="20"/>
        </w:rPr>
        <w:t xml:space="preserve">Replace the Tier 5 row in the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400"/>
        <w:gridCol w:w="1400"/>
        <w:gridCol w:w="2200"/>
        <w:gridCol w:w="22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Payout Speed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Credit Cap (ETB)</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Promotion Method</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Additional Gate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 — Partner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90–100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Pre-funded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500,000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MANUAL ONLY — never automatic</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Min 6 months active history + min 100 completed trips + zero active fraud flags + SUPER_ADMIN approval event required</w:t>
            </w:r>
          </w:p>
        </w:tc>
      </w:tr>
    </w:tbl>
    <w:p>
      <w:pPr>
        <w:spacing w:before="80" w:after="80"/>
      </w:pPr>
      <w:r>
        <w:t xml:space="preserve"/>
      </w:r>
    </w:p>
    <w:p>
      <w:pPr>
        <w:pStyle w:val="Heading3"/>
        <w:spacing w:before="200" w:after="80"/>
      </w:pPr>
      <w:r>
        <w:rPr>
          <w:rFonts w:ascii="Arial" w:cs="Arial" w:eastAsia="Arial" w:hAnsi="Arial"/>
          <w:b/>
          <w:bCs/>
          <w:color w:val="2C3E50"/>
          <w:sz w:val="21"/>
          <w:szCs w:val="21"/>
        </w:rPr>
        <w:t xml:space="preserve">Add to Engine 1 logic</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In trust tier promotion handler — add guard before Tier 5:</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async function promoteTrustTier(entityId: string, newScore: number): Promise&lt;void&gt;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const newTier = computeTierFromScore(newScore);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if (newTier === 5)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 NEVER auto-promote to Tier 5. Emit pending notification only.</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await emitEvent('TIER5_ELIGIBILITY_REACHED',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entity_id: entityId,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trust_score: newScore,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message: 'Entity eligible for Tier 5. Manual OPS approval required.'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await notifyOps('TIER5_APPROVAL_REQUIRED', entityId);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return; // Do NOT update trust_tier to 5 yet</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await updateTrustTier(entityId, newTier);</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OPS approval endpoint: PUT /ops/overrides with override_type: 'TIER5_APPROVE'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This is the ONLY path to Tier 5. Logged as MANUAL_OVERRIDE_ISSUED event.</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Add to events registry (Section 6)</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["TIER5_ELIGIBILITY_REACHED", "USER", "identity", "health, behavior",</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"entity_id, trust_score, months_active, trips_completed"]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RESULT</w:t>
            </w:r>
          </w:p>
          <w:p>
            <w:pPr>
              <w:spacing w:before="0" w:after="0"/>
            </w:pPr>
            <w:r>
              <w:rPr>
                <w:rFonts w:ascii="Arial" w:cs="Arial" w:eastAsia="Arial" w:hAnsi="Arial"/>
                <w:color w:val="333333"/>
                <w:sz w:val="20"/>
                <w:szCs w:val="20"/>
              </w:rPr>
              <w:t xml:space="preserve">Tier 5 is a deliberate business relationship, not an automated outcome. No algorithm miscalibration can accidentally extend 500k ETB credit. SUPER_ADMIN approval creates an auditable trail for every partner-level entity.</w:t>
            </w:r>
          </w:p>
        </w:tc>
      </w:tr>
    </w:tbl>
    <w:p>
      <w:pPr>
        <w:spacing w:before="80" w:after="80"/>
      </w:pPr>
      <w:r>
        <w:t xml:space="preserve"/>
      </w:r>
    </w:p>
    <w:p>
      <w:r>
        <w:br w:type="page"/>
      </w:r>
    </w:p>
    <w:p>
      <w:pPr>
        <w:pStyle w:val="Heading1"/>
        <w:pBdr>
          <w:bottom w:val="single" w:color="2E75B6" w:sz="10" w:space="4"/>
        </w:pBdr>
        <w:spacing w:before="400" w:after="200"/>
      </w:pPr>
      <w:r>
        <w:rPr>
          <w:rFonts w:ascii="Arial" w:cs="Arial" w:eastAsia="Arial" w:hAnsi="Arial"/>
          <w:b/>
          <w:bCs/>
          <w:color w:val="1F3864"/>
          <w:sz w:val="32"/>
          <w:szCs w:val="32"/>
        </w:rPr>
        <w:t xml:space="preserve">EDIT 4 — Margin Normalization Relative to Corridor Statistics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F3864"/>
                <w:sz w:val="18"/>
                <w:szCs w:val="18"/>
              </w:rPr>
              <w:t xml:space="preserve">Section 7.2</w:t>
            </w:r>
          </w:p>
          <w:p>
            <w:r>
              <w:rPr>
                <w:rFonts w:ascii="Arial" w:cs="Arial" w:eastAsia="Arial" w:hAnsi="Arial"/>
                <w:color w:val="555555"/>
                <w:sz w:val="16"/>
                <w:szCs w:val="16"/>
              </w:rPr>
              <w:t xml:space="preserve">REPLACE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Engine 2: WDM — margin factor in scoreCandidate()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7"/>
                <w:szCs w:val="17"/>
              </w:rPr>
              <w:t xml:space="preserve">🔴 CRITICAL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WHY THIS MATTERS</w:t>
            </w:r>
          </w:p>
          <w:p>
            <w:pPr>
              <w:spacing w:before="0" w:after="0"/>
            </w:pPr>
            <w:r>
              <w:rPr>
                <w:rFonts w:ascii="Arial" w:cs="Arial" w:eastAsia="Arial" w:hAnsi="Arial"/>
                <w:color w:val="333333"/>
                <w:sz w:val="20"/>
                <w:szCs w:val="20"/>
              </w:rPr>
              <w:t xml:space="preserve">The current PRD normalizes margin against a fixed 0–15,000 ETB range. Ethiopian corridor margins swing violently based on fuel price, season, and political conditions. A 15,000 ETB margin on the Addis–Gondar corridor may be excellent; on Addis–Adama it may be catastrophic. The optimizer must evaluate margin relative to what is normal for that corridor.</w:t>
            </w:r>
          </w:p>
        </w:tc>
      </w:tr>
    </w:tbl>
    <w:p>
      <w:pPr>
        <w:spacing w:before="80" w:after="80"/>
      </w:pPr>
      <w:r>
        <w:t xml:space="preserve"/>
      </w:r>
    </w:p>
    <w:p>
      <w:pPr>
        <w:pStyle w:val="Heading3"/>
        <w:spacing w:before="200" w:after="80"/>
      </w:pPr>
      <w:r>
        <w:rPr>
          <w:rFonts w:ascii="Arial" w:cs="Arial" w:eastAsia="Arial" w:hAnsi="Arial"/>
          <w:b/>
          <w:bCs/>
          <w:color w:val="2C3E50"/>
          <w:sz w:val="21"/>
          <w:szCs w:val="21"/>
        </w:rPr>
        <w:t xml:space="preserve">Remove This (current WDM margin line)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margin: normalise(load.system_quote_etb - getMarginFloor(load.corridor_id), 0, 15000),</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Replace With — Z-Score Normalization Against Corridor Rolling Stats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In scoreCandidate() — new margin factor:</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corridorStats = await corridor.getMarginStats(load.corridor_id);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corridorStats: { avg_margin_etb: number, stddev_margin_etb: number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Computed from corridor_snapshots rolling 30-day window</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rawMargin = load.system_quote_etb - rateCard.margin_floor_etb;</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marginZScore = corridorStats.stddev_margin_etb &gt; 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 (rawMargin - corridorStats.avg_margin_etb) / corridorStats.stddev_margin_etb</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 0; // fallback when corridor has insufficient history</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Clamp z-score to [-2, +2] and normalise to [0, 1]:</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margin = (Math.min(2, Math.max(-2, marginZScore)) + 2) / 4;</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Add to corridor_snapshots (Section 5.4 — already a TimescaleDB hypertable)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Add these two columns to corridor_snapshots: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avg_margin_etb_30d   DECIMAL(10,2),   -- rolling 30-day average margin</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stddev_margin_etb_30d DECIMAL(10,2),  -- rolling 30-day standard deviation</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Computed by the 6-hourly corridor snapshot job using:</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SELECT AVG(avg_margin_etb), STDDEV(avg_margin_etb)</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FROM corridor_snapshots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WHERE corridor_id = $1 AND snapshot_at &gt; NOW() - INTERVAL '30 days'</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Fallback for New Corridors (insufficient history &lt; 30 snapshots)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When stddev = 0 or snapshot count &lt; 30: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Fall back to absolute normalization: normalise(rawMargin, 0, 20000)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Log a CORRIDOR_INSUFFICIENT_STATS_WARNING event so ops knows optimizer is in fallback mode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RESULT</w:t>
            </w:r>
          </w:p>
          <w:p>
            <w:pPr>
              <w:spacing w:before="0" w:after="0"/>
            </w:pPr>
            <w:r>
              <w:rPr>
                <w:rFonts w:ascii="Arial" w:cs="Arial" w:eastAsia="Arial" w:hAnsi="Arial"/>
                <w:color w:val="333333"/>
                <w:sz w:val="20"/>
                <w:szCs w:val="20"/>
              </w:rPr>
              <w:t xml:space="preserve">A 3,000 ETB margin on a historically 2,500 ETB corridor scores high. A 3,000 ETB margin on a historically 8,000 ETB corridor scores low. The optimizer behaves correctly across all corridors regardless of absolute price levels. New corridors degrade gracefully to absolute normalization until enough data is collected.</w:t>
            </w:r>
          </w:p>
        </w:tc>
      </w:tr>
    </w:tbl>
    <w:p>
      <w:pPr>
        <w:spacing w:before="80" w:after="80"/>
      </w:pPr>
      <w:r>
        <w:t xml:space="preserve"/>
      </w:r>
    </w:p>
    <w:p>
      <w:r>
        <w:br w:type="page"/>
      </w:r>
    </w:p>
    <w:p>
      <w:pPr>
        <w:pStyle w:val="Heading1"/>
        <w:pBdr>
          <w:bottom w:val="single" w:color="2E75B6" w:sz="10" w:space="4"/>
        </w:pBdr>
        <w:spacing w:before="400" w:after="200"/>
      </w:pPr>
      <w:r>
        <w:rPr>
          <w:rFonts w:ascii="Arial" w:cs="Arial" w:eastAsia="Arial" w:hAnsi="Arial"/>
          <w:b/>
          <w:bCs/>
          <w:color w:val="1F3864"/>
          <w:sz w:val="32"/>
          <w:szCs w:val="32"/>
        </w:rPr>
        <w:t xml:space="preserve">EDIT 5 — Backhaul Confidence Weighting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F3864"/>
                <w:sz w:val="18"/>
                <w:szCs w:val="18"/>
              </w:rPr>
              <w:t xml:space="preserve">Section 7.2</w:t>
            </w:r>
          </w:p>
          <w:p>
            <w:r>
              <w:rPr>
                <w:rFonts w:ascii="Arial" w:cs="Arial" w:eastAsia="Arial" w:hAnsi="Arial"/>
                <w:color w:val="555555"/>
                <w:sz w:val="16"/>
                <w:szCs w:val="16"/>
              </w:rPr>
              <w:t xml:space="preserve">REPLACE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Engine 2: WDM — backhaul factor in scoreCandidate()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7"/>
                <w:szCs w:val="17"/>
              </w:rPr>
              <w:t xml:space="preserve">🔴 CRITICAL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WHY THIS MATTERS</w:t>
            </w:r>
          </w:p>
          <w:p>
            <w:pPr>
              <w:spacing w:before="0" w:after="0"/>
            </w:pPr>
            <w:r>
              <w:rPr>
                <w:rFonts w:ascii="Arial" w:cs="Arial" w:eastAsia="Arial" w:hAnsi="Arial"/>
                <w:color w:val="333333"/>
                <w:sz w:val="20"/>
                <w:szCs w:val="20"/>
              </w:rPr>
              <w:t xml:space="preserve">In early Phase 1, the backhaul probability model has almost no training data. Treating its output as a reliable signal means the optimizer will make assignment decisions based on noise. Multiplying backhaul probability by a confidence score prevents this. As data accumulates, confidence rises and the backhaul signal becomes genuinely valuable.</w:t>
            </w:r>
          </w:p>
        </w:tc>
      </w:tr>
    </w:tbl>
    <w:p>
      <w:pPr>
        <w:spacing w:before="80" w:after="80"/>
      </w:pPr>
      <w:r>
        <w:t xml:space="preserve"/>
      </w:r>
    </w:p>
    <w:p>
      <w:pPr>
        <w:pStyle w:val="Heading3"/>
        <w:spacing w:before="200" w:after="80"/>
      </w:pPr>
      <w:r>
        <w:rPr>
          <w:rFonts w:ascii="Arial" w:cs="Arial" w:eastAsia="Arial" w:hAnsi="Arial"/>
          <w:b/>
          <w:bCs/>
          <w:color w:val="2C3E50"/>
          <w:sz w:val="21"/>
          <w:szCs w:val="21"/>
        </w:rPr>
        <w:t xml:space="preserve">Remove This (current WDM backhaul line)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backhaul: await getBackhaulProbability(candidate.truck_id, load.destination_city),</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Replace With — Confidence-Weighted Backhaul Signal</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getBackhaulProbability() must now return both probability AND confidence: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backhaulResult = await getBackhaulSignal(candidate.truck_id, load.destination_city, load.corridor_id);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backhaulResult: { probability: number, confidence: number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probability: 0-1 — how likely a return load exists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confidence:  0-1 — how much we trust this probability (based on data volume)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backhaul = backhaulResult.probability * backhaulResult.confidence;</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How confidence is computed — add to engine-optimizer/src/backhaul.ts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function computeBackhaulConfidence(corridor_id: string, destination_city: string): number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const historicalTrips = await getCompletedTripCount(corridor_id, destination_city, '90d');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 Confidence scale — thresholds stored in strategy_versions.threshold_set:</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if (historicalTrips &lt; 5)   return 0.10;  // almost no data — near-zero weight</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if (historicalTrips &lt; 20)  return 0.35;  // some data — low weight</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if (historicalTrips &lt; 50)  return 0.65;  // moderate data — medium weight</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if (historicalTrips &lt; 100) return 0.85;  // good data — high weight</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return 1.00;                              // 100+ trips — full weight</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Add to strategy_versions.threshold_set (Section 5.5)</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"backhaul_confidence_thresholds":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"min_trips_for_low_confidence": 5,</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"min_trips_for_medium_confidence": 20,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"min_trips_for_high_confidence": 50,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"min_trips_for_full_confidence": 100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Add to decision_traces.input_variables (Section 5.5)</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input_variables JSONB must now include: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"backhaul_probability": 0.72,</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"backhaul_confidence": 0.35,</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"backhaul_weighted": 0.252   // probability * confidence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RESULT</w:t>
            </w:r>
          </w:p>
          <w:p>
            <w:pPr>
              <w:spacing w:before="0" w:after="0"/>
            </w:pPr>
            <w:r>
              <w:rPr>
                <w:rFonts w:ascii="Arial" w:cs="Arial" w:eastAsia="Arial" w:hAnsi="Arial"/>
                <w:color w:val="333333"/>
                <w:sz w:val="20"/>
                <w:szCs w:val="20"/>
              </w:rPr>
              <w:t xml:space="preserve">Phase 1: backhaul barely influences assignment (confidence ~0.10–0.35). Phase 2: as corridor data builds, confidence rises and backhaul becomes a real signal. Phase 3: full 1.0 confidence — the optimizer is genuinely backhaul-aware. All three phases work correctly with the same code.</w:t>
            </w:r>
          </w:p>
        </w:tc>
      </w:tr>
    </w:tbl>
    <w:p>
      <w:pPr>
        <w:spacing w:before="80" w:after="80"/>
      </w:pPr>
      <w:r>
        <w:t xml:space="preserve"/>
      </w:r>
    </w:p>
    <w:p>
      <w:r>
        <w:br w:type="page"/>
      </w:r>
    </w:p>
    <w:p>
      <w:pPr>
        <w:pStyle w:val="Heading1"/>
        <w:pBdr>
          <w:bottom w:val="single" w:color="2E75B6" w:sz="10" w:space="4"/>
        </w:pBdr>
        <w:spacing w:before="400" w:after="200"/>
      </w:pPr>
      <w:r>
        <w:rPr>
          <w:rFonts w:ascii="Arial" w:cs="Arial" w:eastAsia="Arial" w:hAnsi="Arial"/>
          <w:b/>
          <w:bCs/>
          <w:color w:val="1F3864"/>
          <w:sz w:val="32"/>
          <w:szCs w:val="32"/>
        </w:rPr>
        <w:t xml:space="preserve">EDIT 6 — ExposureRisk Must Include Contingent Liabilities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F3864"/>
                <w:sz w:val="18"/>
                <w:szCs w:val="18"/>
              </w:rPr>
              <w:t xml:space="preserve">Section 7.3</w:t>
            </w:r>
          </w:p>
          <w:p>
            <w:r>
              <w:rPr>
                <w:rFonts w:ascii="Arial" w:cs="Arial" w:eastAsia="Arial" w:hAnsi="Arial"/>
                <w:color w:val="555555"/>
                <w:sz w:val="16"/>
                <w:szCs w:val="16"/>
              </w:rPr>
              <w:t xml:space="preserve">REPLACE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Engine 4: Liquidity — checkExposure() and exposureRisk computation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7"/>
                <w:szCs w:val="17"/>
              </w:rPr>
              <w:t xml:space="preserve">🔴 CRITICAL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WHY THIS MATTERS</w:t>
            </w:r>
          </w:p>
          <w:p>
            <w:pPr>
              <w:spacing w:before="0" w:after="0"/>
            </w:pPr>
            <w:r>
              <w:rPr>
                <w:rFonts w:ascii="Arial" w:cs="Arial" w:eastAsia="Arial" w:hAnsi="Arial"/>
                <w:color w:val="333333"/>
                <w:sz w:val="20"/>
                <w:szCs w:val="20"/>
              </w:rPr>
              <w:t xml:space="preserve">If exposureRisk only counts outstanding load value, it will massively understate true financial risk. Pending escrow already locked, open disputes with frozen funds, and unverified COD that may never be collected are all real liabilities. The optimizer's liquidityDelta factor and the exposure cap enforcement must see the full picture.</w:t>
            </w:r>
          </w:p>
        </w:tc>
      </w:tr>
    </w:tbl>
    <w:p>
      <w:pPr>
        <w:spacing w:before="80" w:after="80"/>
      </w:pPr>
      <w:r>
        <w:t xml:space="preserve"/>
      </w:r>
    </w:p>
    <w:p>
      <w:pPr>
        <w:pStyle w:val="Heading3"/>
        <w:spacing w:before="200" w:after="80"/>
      </w:pPr>
      <w:r>
        <w:rPr>
          <w:rFonts w:ascii="Arial" w:cs="Arial" w:eastAsia="Arial" w:hAnsi="Arial"/>
          <w:b/>
          <w:bCs/>
          <w:color w:val="2C3E50"/>
          <w:sz w:val="21"/>
          <w:szCs w:val="21"/>
        </w:rPr>
        <w:t xml:space="preserve">Replace the exposureRisk definition in checkExposure()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engine-liquidity/src/exposure.ts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async function computeContingentExposure(fleetOwnerId: string): Promise&lt;number&gt;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const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activeLoadsValue,      // loads in MATCHED/IN_TRANSIT status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pendingEscrow,         // ESCROW_HOLD transactions not yet released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frozenDisputes,        // escrow frozen by open incidents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unverifiedCOD,         // COD_LOG transactions with cod_verified = false/null</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shockMultiplier        // 1.0 normally; 1.2–1.5 during shock mode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 = await Promise.all([</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getActiveLoadsValue(fleetOwnerId),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getPendingEscrowValue(fleetOwnerId),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getFrozenDisputeValue(fleetOwnerId),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getUnverifiedCODValue(fleetOwnerId),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getShockExposureMultiplier()</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const rawExposure = activeLoadsValue + pendingEscrow + frozenDisputes + unverifiedCOD;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return rawExposure * shockMultiplier;</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exposureRisk score (0-1) used by WDM liquidityDelta:</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async function getExposureRisk(fleetOwnerId: string, newLoadValue: number): Promise&lt;number&gt;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const cap = await getExposureCap('FLEET', fleetOwnerId);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const currentExposure = await computeContingentExposure(fleetOwnerId);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const projectedExposure = currentExposure + newLoadValue;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return Math.min(1, projectedExposure / cap.cap_etb);  // 0 = no risk, 1 = at cap</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Add shockExposureMultiplier values to shock_events (Section 5.5)</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shock_events.actions_taken JSONB must include: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"exposure_multiplier": 1.3 }  -- Severity 2</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"exposure_multiplier": 1.5 }  -- Severity 3</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"exposure_multiplier": 2.0 }  -- Severity 4</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"exposure_multiplier": 1.0 }  -- Normal / Fuel Queue Mode</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Add geographic cluster exposure cap (additional cap type)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exposure_caps table: add 'CLUSTER' as a valid scope_type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 cluster groups adjacent corridors into a single risk zone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Example: corr_aab_mkl + corr_mkl_axm share NORTH cluster risk</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Seed with 5 geographic clusters at launch:</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INSERT INTO exposure_caps (scope_type, scope_id, cap_etb) VALUES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('CLUSTER', 'cluster_north', 2000000),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('CLUSTER', 'cluster_south', 1500000),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('CLUSTER', 'cluster_east',  1000000),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('CLUSTER', 'cluster_west',   800000),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('CLUSTER', 'cluster_central',3000000);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RESULT</w:t>
            </w:r>
          </w:p>
          <w:p>
            <w:pPr>
              <w:spacing w:before="0" w:after="0"/>
            </w:pPr>
            <w:r>
              <w:rPr>
                <w:rFonts w:ascii="Arial" w:cs="Arial" w:eastAsia="Arial" w:hAnsi="Arial"/>
                <w:color w:val="333333"/>
                <w:sz w:val="20"/>
                <w:szCs w:val="20"/>
              </w:rPr>
              <w:t xml:space="preserve">The optimizer's liquidityDelta factor and the exposure cap enforcement both see true financial exposure including all contingent liabilities. A fleet owner with 3 open disputes and 5 unverified COD trips correctly appears more exposed than one with the same load volume but clean settlement history.</w:t>
            </w:r>
          </w:p>
        </w:tc>
      </w:tr>
    </w:tbl>
    <w:p>
      <w:pPr>
        <w:spacing w:before="80" w:after="80"/>
      </w:pPr>
      <w:r>
        <w:t xml:space="preserve"/>
      </w:r>
    </w:p>
    <w:p>
      <w:r>
        <w:br w:type="page"/>
      </w:r>
    </w:p>
    <w:p>
      <w:pPr>
        <w:pStyle w:val="Heading1"/>
        <w:pBdr>
          <w:bottom w:val="single" w:color="2E75B6" w:sz="10" w:space="4"/>
        </w:pBdr>
        <w:spacing w:before="400" w:after="200"/>
      </w:pPr>
      <w:r>
        <w:rPr>
          <w:rFonts w:ascii="Arial" w:cs="Arial" w:eastAsia="Arial" w:hAnsi="Arial"/>
          <w:b/>
          <w:bCs/>
          <w:color w:val="1F3864"/>
          <w:sz w:val="32"/>
          <w:szCs w:val="32"/>
        </w:rPr>
        <w:t xml:space="preserve">EDIT 7 — Smooth Pricing Curves (Remove Binary Thresholds)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1F3864"/>
                <w:sz w:val="18"/>
                <w:szCs w:val="18"/>
              </w:rPr>
              <w:t xml:space="preserve">Section 7.2</w:t>
            </w:r>
          </w:p>
          <w:p>
            <w:r>
              <w:rPr>
                <w:rFonts w:ascii="Arial" w:cs="Arial" w:eastAsia="Arial" w:hAnsi="Arial"/>
                <w:color w:val="555555"/>
                <w:sz w:val="16"/>
                <w:szCs w:val="16"/>
              </w:rPr>
              <w:t xml:space="preserve">REPLACE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Engine 2: Pricing Formula — backhaul incentive and liquidity stress lines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7"/>
                <w:szCs w:val="17"/>
              </w:rPr>
              <w:t xml:space="preserve">🟡 IMPORTANT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WHY THIS MATTERS</w:t>
            </w:r>
          </w:p>
          <w:p>
            <w:pPr>
              <w:spacing w:before="0" w:after="0"/>
            </w:pPr>
            <w:r>
              <w:rPr>
                <w:rFonts w:ascii="Arial" w:cs="Arial" w:eastAsia="Arial" w:hAnsi="Arial"/>
                <w:color w:val="333333"/>
                <w:sz w:val="20"/>
                <w:szCs w:val="20"/>
              </w:rPr>
              <w:t xml:space="preserve">Binary threshold pricing creates cliff effects. A backhaul probability of 0.59 gets zero incentive; 0.61 gets 8%. An orderer who discovers this threshold can game it. Smooth linear/gradient curves eliminate manipulation vectors and produce more economically rational price signals.</w:t>
            </w:r>
          </w:p>
        </w:tc>
      </w:tr>
    </w:tbl>
    <w:p>
      <w:pPr>
        <w:spacing w:before="80" w:after="80"/>
      </w:pPr>
      <w:r>
        <w:t xml:space="preserve"/>
      </w:r>
    </w:p>
    <w:p>
      <w:pPr>
        <w:pStyle w:val="Heading3"/>
        <w:spacing w:before="200" w:after="80"/>
      </w:pPr>
      <w:r>
        <w:rPr>
          <w:rFonts w:ascii="Arial" w:cs="Arial" w:eastAsia="Arial" w:hAnsi="Arial"/>
          <w:b/>
          <w:bCs/>
          <w:color w:val="2C3E50"/>
          <w:sz w:val="21"/>
          <w:szCs w:val="21"/>
        </w:rPr>
        <w:t xml:space="preserve">Backhaul Incentive — Remove Binary, Add Linear Scaling</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BEFORE (binary cliff):</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bkhl = ctx.backhaul_probability &gt; 0.6 ? -(base * 0.08) : 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AFTER (linear gradient — max 10% discount at probability=1.0):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bkhl = -(base * 0.10 * backhaulResult.probability * backhaulResult.confidence);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At probability=0.3, confidence=1.0: -3% discount</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At probability=0.7, confidence=0.8: -5.6% discount</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At probability=1.0, confidence=1.0: -10% discount (max)</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At any confidence=0.10 (Phase 1): discount is negligible regardless of probability</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Liquidity Stress — Remove Step Function, Add Gradient</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BEFORE (step function):</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liq = ctx.liquidity_stress_level &gt; 0.7 ? base * 0.05 : 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AFTER (smooth gradient — scales from 0% to 8% as stress goes 0→1):</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liq = base * (0.08 * Math.pow(ctx.liquidity_stress_level, 2));</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At stress=0.3: +0.72% (barely perceptible)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At stress=0.5: +2.0%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At stress=0.7: +3.92%</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At stress=0.9: +6.48%</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At stress=1.0: +8.0% (maximum during full exposure breach)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RESULT</w:t>
            </w:r>
          </w:p>
          <w:p>
            <w:pPr>
              <w:spacing w:before="0" w:after="0"/>
            </w:pPr>
            <w:r>
              <w:rPr>
                <w:rFonts w:ascii="Arial" w:cs="Arial" w:eastAsia="Arial" w:hAnsi="Arial"/>
                <w:color w:val="333333"/>
                <w:sz w:val="20"/>
                <w:szCs w:val="20"/>
              </w:rPr>
              <w:t xml:space="preserve">Prices respond smoothly to real conditions. No cliff effects. No manipulation vectors. Orderers experience gradual price signals that reflect actual supply/demand and risk — not arbitrary threshold jumps.</w:t>
            </w:r>
          </w:p>
        </w:tc>
      </w:tr>
    </w:tbl>
    <w:p>
      <w:pPr>
        <w:spacing w:before="80" w:after="80"/>
      </w:pPr>
      <w:r>
        <w:t xml:space="preserve"/>
      </w:r>
    </w:p>
    <w:p>
      <w:r>
        <w:br w:type="page"/>
      </w:r>
    </w:p>
    <w:p>
      <w:pPr>
        <w:pStyle w:val="Heading1"/>
        <w:pBdr>
          <w:bottom w:val="single" w:color="2E75B6" w:sz="10" w:space="4"/>
        </w:pBdr>
        <w:spacing w:before="400" w:after="200"/>
      </w:pPr>
      <w:r>
        <w:rPr>
          <w:rFonts w:ascii="Arial" w:cs="Arial" w:eastAsia="Arial" w:hAnsi="Arial"/>
          <w:b/>
          <w:bCs/>
          <w:color w:val="1F3864"/>
          <w:sz w:val="32"/>
          <w:szCs w:val="32"/>
        </w:rPr>
        <w:t xml:space="preserve">EDIT 8 — USSD Delivery Abuse Prevention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1F3864"/>
                <w:sz w:val="18"/>
                <w:szCs w:val="18"/>
              </w:rPr>
              <w:t xml:space="preserve">Section 9</w:t>
            </w:r>
          </w:p>
          <w:p>
            <w:r>
              <w:rPr>
                <w:rFonts w:ascii="Arial" w:cs="Arial" w:eastAsia="Arial" w:hAnsi="Arial"/>
                <w:color w:val="555555"/>
                <w:sz w:val="16"/>
                <w:szCs w:val="16"/>
              </w:rPr>
              <w:t xml:space="preserve">ADD LOGIC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USSD Fallback — *858*4# delivery confirmation grace period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7"/>
                <w:szCs w:val="17"/>
              </w:rPr>
              <w:t xml:space="preserve">🟡 IMPORTANT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WHY THIS MATTERS</w:t>
            </w:r>
          </w:p>
          <w:p>
            <w:pPr>
              <w:spacing w:before="0" w:after="0"/>
            </w:pPr>
            <w:r>
              <w:rPr>
                <w:rFonts w:ascii="Arial" w:cs="Arial" w:eastAsia="Arial" w:hAnsi="Arial"/>
                <w:color w:val="333333"/>
                <w:sz w:val="20"/>
                <w:szCs w:val="20"/>
              </w:rPr>
              <w:t xml:space="preserve">Without enforcement, drivers will discover they can confirm delivery via USSD and never upload the photo — permanently. The 2-hour grace window must automatically escalate to a trust warning and then to ops if the photo is not received. This is a real abuse vector in cash-heavy, low-accountability logistics environments.</w:t>
            </w:r>
          </w:p>
        </w:tc>
      </w:tr>
    </w:tbl>
    <w:p>
      <w:pPr>
        <w:spacing w:before="80" w:after="80"/>
      </w:pPr>
      <w:r>
        <w:t xml:space="preserve"/>
      </w:r>
    </w:p>
    <w:p>
      <w:pPr>
        <w:pStyle w:val="Heading3"/>
        <w:spacing w:before="200" w:after="80"/>
      </w:pPr>
      <w:r>
        <w:rPr>
          <w:rFonts w:ascii="Arial" w:cs="Arial" w:eastAsia="Arial" w:hAnsi="Arial"/>
          <w:b/>
          <w:bCs/>
          <w:color w:val="2C3E50"/>
          <w:sz w:val="21"/>
          <w:szCs w:val="21"/>
        </w:rPr>
        <w:t xml:space="preserve">Add to Section 9.2 USSD Fallback description for *858*4#</w:t>
      </w:r>
    </w:p>
    <w:p>
      <w:pPr>
        <w:spacing w:before="60" w:after="60"/>
      </w:pPr>
      <w:r>
        <w:rPr>
          <w:rFonts w:ascii="Arial" w:cs="Arial" w:eastAsia="Arial" w:hAnsi="Arial"/>
          <w:color w:val="333333"/>
          <w:sz w:val="20"/>
          <w:szCs w:val="20"/>
        </w:rPr>
        <w:t xml:space="preserve">Replace: 'Delivery flagged as USSD-confirmed. Photo required within 2h for full payout.'</w:t>
      </w:r>
    </w:p>
    <w:p>
      <w:pPr>
        <w:spacing w:before="60" w:after="60"/>
      </w:pPr>
      <w:r>
        <w:rPr>
          <w:rFonts w:ascii="Arial" w:cs="Arial" w:eastAsia="Arial" w:hAnsi="Arial"/>
          <w:color w:val="333333"/>
          <w:sz w:val="20"/>
          <w:szCs w:val="20"/>
        </w:rPr>
        <w:t xml:space="preserve">With the following complete flow:</w:t>
      </w:r>
    </w:p>
    <w:p>
      <w:pPr>
        <w:spacing w:before="80" w:after="80"/>
      </w:pPr>
      <w: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USSD delivery confirmation flow:</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T+0:    Driver sends *858*4# → DELIVERY_CONFIRMED (ussd=true) event emitted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Escrow moves to 'PENDING_POD' state (not released yet)</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BullMQ delayed job scheduled: check POD at T+2h</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T+2h:   If pod_s3_key IS populated → release escrow normally. Flow complete.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T+2h:   If pod_s3_key IS NULL → auto-emit TRUST_WARNING event:</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 entity_id: driver_id, reason: "USSD_POD_OVERDUE", trip_id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Notify driver via SMS: 'Photo required to receive payment. Upload now: [link]'</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Schedule second check at T+24h</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T+24h:  If pod_s3_key still NULL → escalate to ops (DISPUTE_OPENED automatically)</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Payout held indefinitely until resolved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apply trust penalty: decayWeightedScore with penalty=12 for USSD_POD_OVERDUE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T+48h:  If 3+ USSD_POD_OVERDUE events on same driver in 30 days: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Emit FRAUD_FLAG_RAISED { rule_id: 'USSD_ABUSE_PATTERN', severity: 'HIGH' }</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Add to events registry (Section 6)</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["TRUST_WARNING",     "USER",  "identity", "identity, fraud", "entity_id, reason, trip_id, penalty_weight"]</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["USSD_POD_OVERDUE",  "TRIP",  "data",     "identity, liquidity", "trip_id, driver_id, hours_overdue"]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RESULT</w:t>
            </w:r>
          </w:p>
          <w:p>
            <w:pPr>
              <w:spacing w:before="0" w:after="0"/>
            </w:pPr>
            <w:r>
              <w:rPr>
                <w:rFonts w:ascii="Arial" w:cs="Arial" w:eastAsia="Arial" w:hAnsi="Arial"/>
                <w:color w:val="333333"/>
                <w:sz w:val="20"/>
                <w:szCs w:val="20"/>
              </w:rPr>
              <w:t xml:space="preserve">USSD delivery is a genuine offline fallback, not a free pass. The decay-based trust penalty (Edit 1) ensures honest drivers who forget once are minimally impacted. Drivers who habitually abuse USSD delivery accumulate trust penalties and eventually a fraud flag.</w:t>
            </w:r>
          </w:p>
        </w:tc>
      </w:tr>
    </w:tbl>
    <w:p>
      <w:pPr>
        <w:spacing w:before="80" w:after="80"/>
      </w:pPr>
      <w:r>
        <w:t xml:space="preserve"/>
      </w:r>
    </w:p>
    <w:p>
      <w:r>
        <w:br w:type="page"/>
      </w:r>
    </w:p>
    <w:p>
      <w:pPr>
        <w:pStyle w:val="Heading1"/>
        <w:pBdr>
          <w:bottom w:val="single" w:color="2E75B6" w:sz="10" w:space="4"/>
        </w:pBdr>
        <w:spacing w:before="400" w:after="200"/>
      </w:pPr>
      <w:r>
        <w:rPr>
          <w:rFonts w:ascii="Arial" w:cs="Arial" w:eastAsia="Arial" w:hAnsi="Arial"/>
          <w:b/>
          <w:bCs/>
          <w:color w:val="1F3864"/>
          <w:sz w:val="32"/>
          <w:szCs w:val="32"/>
        </w:rPr>
        <w:t xml:space="preserve">EDIT 9 — Shock Mode Price Gouging Cap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1F3864"/>
                <w:sz w:val="18"/>
                <w:szCs w:val="18"/>
              </w:rPr>
              <w:t xml:space="preserve">Section 7.4</w:t>
            </w:r>
          </w:p>
          <w:p>
            <w:r>
              <w:rPr>
                <w:rFonts w:ascii="Arial" w:cs="Arial" w:eastAsia="Arial" w:hAnsi="Arial"/>
                <w:color w:val="555555"/>
                <w:sz w:val="16"/>
                <w:szCs w:val="16"/>
              </w:rPr>
              <w:t xml:space="preserve">ADD RULE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Engine 5: Shock Absorption — Shock Mode Actions Matrix, Severity 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7"/>
                <w:szCs w:val="17"/>
              </w:rPr>
              <w:t xml:space="preserve">🟡 IMPORTANT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WHY THIS MATTERS</w:t>
            </w:r>
          </w:p>
          <w:p>
            <w:pPr>
              <w:spacing w:before="0" w:after="0"/>
            </w:pPr>
            <w:r>
              <w:rPr>
                <w:rFonts w:ascii="Arial" w:cs="Arial" w:eastAsia="Arial" w:hAnsi="Arial"/>
                <w:color w:val="333333"/>
                <w:sz w:val="20"/>
                <w:szCs w:val="20"/>
              </w:rPr>
              <w:t xml:space="preserve">When Shock Severity 3+ activates, orderers are in urgent need — they cannot easily walk away from a load. Without a price ceiling, the negotiation band maximum can be manipulated to extract excessive prices during crises. Ruit has a responsibility to be a stabilizing infrastructure, not a price gouger.</w:t>
            </w:r>
          </w:p>
        </w:tc>
      </w:tr>
    </w:tbl>
    <w:p>
      <w:pPr>
        <w:spacing w:before="80" w:after="80"/>
      </w:pPr>
      <w:r>
        <w:t xml:space="preserve"/>
      </w:r>
    </w:p>
    <w:p>
      <w:pPr>
        <w:pStyle w:val="Heading3"/>
        <w:spacing w:before="200" w:after="80"/>
      </w:pPr>
      <w:r>
        <w:rPr>
          <w:rFonts w:ascii="Arial" w:cs="Arial" w:eastAsia="Arial" w:hAnsi="Arial"/>
          <w:b/>
          <w:bCs/>
          <w:color w:val="2C3E50"/>
          <w:sz w:val="21"/>
          <w:szCs w:val="21"/>
        </w:rPr>
        <w:t xml:space="preserve">Add to Shock Mode Actions Matrix (Section 7.4 table) — new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Existing Margin Floor Raise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NEW: Negotiation Band Maximum Cap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 Advisory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+ 5%</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cap change — full band applies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 — Moderate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+ 15%</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Band max capped at system_quote × 1.10 (was 1.15)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 — Severe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+ 30%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Band max capped at system_quote × 1.05 (near-fixed pricing)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 — Critical</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+ 50%</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Band max = system_quote exactly. No upward negotiation permitted.</w:t>
            </w:r>
          </w:p>
        </w:tc>
      </w:tr>
    </w:tbl>
    <w:p>
      <w:pPr>
        <w:spacing w:before="80" w:after="80"/>
      </w:pPr>
      <w:r>
        <w:t xml:space="preserve"/>
      </w:r>
    </w:p>
    <w:p>
      <w:pPr>
        <w:pStyle w:val="Heading3"/>
        <w:spacing w:before="200" w:after="80"/>
      </w:pPr>
      <w:r>
        <w:rPr>
          <w:rFonts w:ascii="Arial" w:cs="Arial" w:eastAsia="Arial" w:hAnsi="Arial"/>
          <w:b/>
          <w:bCs/>
          <w:color w:val="2C3E50"/>
          <w:sz w:val="21"/>
          <w:szCs w:val="21"/>
        </w:rPr>
        <w:t xml:space="preserve">Add to pricing formula (Section 7.2 — computeQuote())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At end of computeQuote(), apply shock band cap:</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shockMode = await shock.getActiveShock();</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const bandMaxMultiplier = shockMode ?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1: 1.15,  // no change from normal</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2: 1.10,</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3: 1.05,</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4: 1.00   // locked — no upward negotiation</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}[shockMode.severity] : 1.15;  // normal band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return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...existingQuoteFields,</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negotiation_band: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min: total * 0.92,</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max: total * bandMaxMultiplier  // shock-adjusted</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  is_shock_price_capped: shockMode?.severity &gt;= 2 ?? false</w:t>
      </w:r>
    </w:p>
    <w:p>
      <w:pPr>
        <w:pBdr>
          <w:left w:val="single" w:color="1ABC9C" w:sz="14"/>
        </w:pBdr>
        <w:shd w:fill="F4F4F4" w:val="clear"/>
        <w:spacing w:before="20" w:after="20"/>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00" w:after="80"/>
      </w:pPr>
      <w:r>
        <w:rPr>
          <w:rFonts w:ascii="Arial" w:cs="Arial" w:eastAsia="Arial" w:hAnsi="Arial"/>
          <w:b/>
          <w:bCs/>
          <w:color w:val="2C3E50"/>
          <w:sz w:val="21"/>
          <w:szCs w:val="21"/>
        </w:rPr>
        <w:t xml:space="preserve">Surface to orderer interface</w:t>
      </w:r>
    </w:p>
    <w:p>
      <w:pPr>
        <w:spacing w:before="60" w:after="60"/>
      </w:pPr>
      <w:r>
        <w:rPr>
          <w:rFonts w:ascii="Arial" w:cs="Arial" w:eastAsia="Arial" w:hAnsi="Arial"/>
          <w:color w:val="333333"/>
          <w:sz w:val="20"/>
          <w:szCs w:val="20"/>
        </w:rPr>
        <w:t xml:space="preserve">When is_shock_price_capped is true, the Orderer Portal must display: 'Pricing is stabilized during an active disruption event. Standard negotiation limits apply.' This is an interface-layer instruction — no backend change beyond the boolean flag already returned above.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RESULT</w:t>
            </w:r>
          </w:p>
          <w:p>
            <w:pPr>
              <w:spacing w:before="0" w:after="0"/>
            </w:pPr>
            <w:r>
              <w:rPr>
                <w:rFonts w:ascii="Arial" w:cs="Arial" w:eastAsia="Arial" w:hAnsi="Arial"/>
                <w:color w:val="333333"/>
                <w:sz w:val="20"/>
                <w:szCs w:val="20"/>
              </w:rPr>
              <w:t xml:space="preserve">Ruit becomes the stabilizing infrastructure it is designed to be. During crises, orderers get fair pricing with modest margin. Fleet owners get protected margin floors. No party can extract crisis rents. This also protects Ruit's long-term reputation as a neutral, trustworthy platform.</w:t>
            </w:r>
          </w:p>
        </w:tc>
      </w:tr>
    </w:tbl>
    <w:p>
      <w:pPr>
        <w:spacing w:before="80" w:after="80"/>
      </w:pPr>
      <w:r>
        <w:t xml:space="preserve"/>
      </w:r>
    </w:p>
    <w:p>
      <w:r>
        <w:br w:type="page"/>
      </w:r>
    </w:p>
    <w:p>
      <w:pPr>
        <w:pStyle w:val="Heading1"/>
        <w:pBdr>
          <w:bottom w:val="single" w:color="2E75B6" w:sz="10" w:space="4"/>
        </w:pBdr>
        <w:spacing w:before="400" w:after="200"/>
      </w:pPr>
      <w:r>
        <w:rPr>
          <w:rFonts w:ascii="Arial" w:cs="Arial" w:eastAsia="Arial" w:hAnsi="Arial"/>
          <w:b/>
          <w:bCs/>
          <w:color w:val="1F3864"/>
          <w:sz w:val="32"/>
          <w:szCs w:val="32"/>
        </w:rPr>
        <w:t xml:space="preserve">AMENDMENT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200"/>
        <w:gridCol w:w="2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Edit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Files Affected</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Trust Score Decay Model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packages/shared-types/src/trust.ts, strategy_versions seed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CRITICAL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COD Discrepancy Rate (Driver)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schema: drivers table, shared-types/trust.ts, events registry</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CRITICAL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Tier 5 Manual Gate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engine-identity promotion logic, ops override endpoint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CRITICAL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Margin Z-Score Normalization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engine-optimizer/src/wdm.ts, corridor_snapshots schema</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CRITICAL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Backhaul Confidence Weighting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engine-optimizer/src/backhaul.ts, decision_traces schema, strategy_versions seed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CRITICAL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Contingent Liability Exposure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engine-liquidity/src/exposure.ts, exposure_caps seed, shock_events schema</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CRITICAL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Smooth Pricing Curves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engine-optimizer/src/pricing.ts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IMPORTANT</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USSD Delivery Abuse Prevention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notification-service, BullMQ jobs, events registry, trust.ts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IMPORTANT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Shock Price Gouging Cap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engine-optimizer/src/pricing.ts, shock engine integration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IMPORTANT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ALL 9 EDITS APPLIED → PRD v3.0 IS APPROVED</w:t>
            </w:r>
          </w:p>
          <w:p>
            <w:pPr>
              <w:spacing w:before="0" w:after="0"/>
            </w:pPr>
            <w:r>
              <w:rPr>
                <w:rFonts w:ascii="Arial" w:cs="Arial" w:eastAsia="Arial" w:hAnsi="Arial"/>
                <w:color w:val="333333"/>
                <w:sz w:val="20"/>
                <w:szCs w:val="20"/>
              </w:rPr>
              <w:t xml:space="preserve">These 9 amendments complete the architecture. The 5 critical structural gaps identified in the review are all addressed. PRD v3.0 + these edits constitute the complete, final, approved technical specification for the Ruit Central Backend Engine.</w:t>
            </w:r>
          </w:p>
        </w:tc>
      </w:tr>
    </w:tbl>
    <w:p>
      <w:pPr>
        <w:spacing w:before="80" w:after="80"/>
      </w:pPr>
      <w:r>
        <w:t xml:space="preserve"/>
      </w:r>
    </w:p>
    <w:p>
      <w:pPr>
        <w:spacing w:before="80" w:after="80"/>
      </w:pPr>
      <w:r>
        <w:t xml:space="preserve"/>
      </w:r>
    </w:p>
    <w:p>
      <w:pPr>
        <w:pBdr>
          <w:top w:val="single" w:color="2E75B6" w:sz="6"/>
        </w:pBdr>
        <w:spacing w:before="200" w:after="60"/>
        <w:jc w:val="center"/>
      </w:pPr>
      <w:r>
        <w:rPr>
          <w:rFonts w:ascii="Arial" w:cs="Arial" w:eastAsia="Arial" w:hAnsi="Arial"/>
          <w:sz w:val="10"/>
          <w:szCs w:val="10"/>
        </w:rPr>
        <w:t xml:space="preserve"/>
      </w:r>
    </w:p>
    <w:p>
      <w:pPr>
        <w:spacing w:before="60" w:after="40"/>
        <w:jc w:val="center"/>
      </w:pPr>
      <w:r>
        <w:rPr>
          <w:rFonts w:ascii="Arial" w:cs="Arial" w:eastAsia="Arial" w:hAnsi="Arial"/>
          <w:b/>
          <w:bCs/>
          <w:color w:val="1F3864"/>
          <w:sz w:val="19"/>
          <w:szCs w:val="19"/>
        </w:rPr>
        <w:t xml:space="preserve">RUIT CBE  ·  PRD Final Edits  ·  9 Amendments to v3.0</w:t>
      </w:r>
    </w:p>
    <w:p>
      <w:pPr>
        <w:spacing w:before="0" w:after="40"/>
        <w:jc w:val="center"/>
      </w:pPr>
      <w:r>
        <w:rPr>
          <w:rFonts w:ascii="Arial" w:cs="Arial" w:eastAsia="Arial" w:hAnsi="Arial"/>
          <w:color w:val="888888"/>
          <w:sz w:val="18"/>
          <w:szCs w:val="18"/>
        </w:rPr>
        <w:t xml:space="preserve">Apply these patches to PRD v3.0. Do not regenerate.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80"/>
      <w:outlineLvl w:val="2"/>
    </w:pPr>
    <w:rPr>
      <w:rFonts w:ascii="Arial" w:cs="Arial" w:eastAsia="Arial" w:hAnsi="Arial"/>
      <w:b/>
      <w:bCs/>
      <w:color w:val="2C3E5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2026-02-23T12:41:36.239Z</dcterms:created>
  <dcterms:modified xsi:type="dcterms:W3CDTF">2026-02-23T12:41:36.240Z</dcterms:modified>
</cp:coreProperties>
</file>

<file path=docProps/custom.xml><?xml version="1.0" encoding="utf-8"?>
<Properties xmlns="http://schemas.openxmlformats.org/officeDocument/2006/custom-properties" xmlns:vt="http://schemas.openxmlformats.org/officeDocument/2006/docPropsVTypes"/>
</file>