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Microsoft JhengHei" w:hAnsi="Microsoft JhengHei" w:eastAsia="Microsoft JhengHei"/>
          <w:b/>
          <w:color w:val="087E9A"/>
          <w:sz w:val="22"/>
        </w:rPr>
        <w:t>PISA 2025  |  TAIWAN LEARNING COMPASS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000000"/>
          <w:sz w:val="68"/>
        </w:rPr>
        <w:t>臺灣學習羅盤</w:t>
      </w:r>
    </w:p>
    <w:p>
      <w:pPr>
        <w:spacing w:after="400"/>
      </w:pPr>
      <w:r>
        <w:rPr>
          <w:rFonts w:ascii="Microsoft JhengHei" w:hAnsi="Microsoft JhengHei" w:eastAsia="Microsoft JhengHei"/>
          <w:b w:val="0"/>
          <w:color w:val="123044"/>
          <w:sz w:val="32"/>
        </w:rPr>
        <w:t>給教師與高中生的資料解讀、互動儀表板內容與課堂應用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120640"/>
            <wp:docPr id="1" name="Picture 1" descr="學生在教師引導下進行科學實驗與數位學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cd-country-note-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 w:line="307" w:lineRule="auto"/>
      </w:pPr>
      <w:r>
        <w:rPr>
          <w:rFonts w:ascii="Microsoft JhengHei" w:hAnsi="Microsoft JhengHei" w:eastAsia="Microsoft JhengHei"/>
          <w:b/>
          <w:color w:val="087E9A"/>
          <w:sz w:val="22"/>
        </w:rPr>
        <w:t>OECD PISA 2025 Results (Volume I): Future-Ready Students</w:t>
      </w:r>
    </w:p>
    <w:p>
      <w:pPr>
        <w:spacing w:before="0" w:after="40" w:line="307" w:lineRule="auto"/>
      </w:pPr>
      <w:r>
        <w:rPr>
          <w:rFonts w:ascii="Microsoft JhengHei" w:hAnsi="Microsoft JhengHei" w:eastAsia="Microsoft JhengHei"/>
          <w:b w:val="0"/>
          <w:color w:val="587080"/>
          <w:sz w:val="20"/>
        </w:rPr>
        <w:t>資料發布：2026 年 9 月 8 日　｜　本文件整理：2026 年 9 月 11 日</w:t>
      </w: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587080"/>
          <w:sz w:val="20"/>
        </w:rPr>
        <w:t>臺灣在 OECD 報告中以 Chinese Taipei 呈現。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先看結論</w:t>
      </w:r>
    </w:p>
    <w:p>
      <w:pPr>
        <w:spacing w:before="0" w:after="240" w:line="307" w:lineRule="auto"/>
      </w:pPr>
      <w:r>
        <w:rPr>
          <w:rFonts w:ascii="Microsoft JhengHei" w:hAnsi="Microsoft JhengHei" w:eastAsia="Microsoft JhengHei"/>
          <w:b w:val="0"/>
          <w:color w:val="123044"/>
          <w:sz w:val="24"/>
        </w:rPr>
        <w:t>臺灣學生在科學、數學、閱讀三大領域均位居前十，計算問題解決（Computational problem solving）也高於 OECD 平均。高表現的另一面，是成長型思維、學習規劃與自我檢查理解的比例偏低；環境科學能力與行動效能感強，但對環境相關職涯的興趣低於 OECD 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80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觀察面向</w:t>
            </w:r>
          </w:p>
        </w:tc>
        <w:tc>
          <w:tcPr>
            <w:tcW w:type="dxa" w:w="316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臺灣訊號</w:t>
            </w:r>
          </w:p>
        </w:tc>
        <w:tc>
          <w:tcPr>
            <w:tcW w:type="dxa" w:w="468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教學上可追問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學習表現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三大領域均進前十；數學頂尖者 32%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高成就學生是否也能解釋策略、遷移與查證？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學習策略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成長型思維 46%；自我提問 33%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是否把規劃、監控與反思明確教出來？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數位與 AI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40% 每週用 AI 學習；66% 在課堂學評估 AI 資訊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能否要求學生保留來源、查證並說明修改理由？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環境素養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87% 達環境科學基準；職涯興趣 50%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能否把環境議題連到真實工作角色與決策？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587080"/>
          <w:sz w:val="20"/>
        </w:rPr>
        <w:t>注意：上述「教學上可追問」是本文件根據 OECD 數據提出的教育解讀，並非 OECD 官方政策建議。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1. 受測對象與資料品質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3024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76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臺灣資料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受測學生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7,279 人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學校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292 所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代表母體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約 18.1 萬名 15 歲學生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估計涵蓋率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92%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品質判定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符合 PISA 技術品質標準，適合發布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學生進行約兩小時測驗，每位學生測兩個領域，並完成約 35 分鐘的背景問卷。校長另填答學校管理、組織與學習環境問卷。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2. 學習表現：高於 OECD 平均</w:t>
      </w:r>
    </w:p>
    <w:p>
      <w:r>
        <w:drawing>
          <wp:inline xmlns:a="http://schemas.openxmlformats.org/drawingml/2006/main" xmlns:pic="http://schemas.openxmlformats.org/drawingml/2006/picture">
            <wp:extent cx="64008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  <w:jc w:val="center"/>
      </w:pPr>
      <w:r>
        <w:rPr>
          <w:rFonts w:ascii="Microsoft JhengHei" w:hAnsi="Microsoft JhengHei" w:eastAsia="Microsoft JhengHei"/>
          <w:b w:val="0"/>
          <w:color w:val="587080"/>
          <w:sz w:val="18"/>
        </w:rPr>
        <w:t>圖 1　平均分數比較。彩色為臺灣，灰色為 OECD 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360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領域</w:t>
            </w:r>
          </w:p>
        </w:tc>
        <w:tc>
          <w:tcPr>
            <w:tcW w:type="dxa" w:w="144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</w:t>
            </w:r>
          </w:p>
        </w:tc>
        <w:tc>
          <w:tcPr>
            <w:tcW w:type="dxa" w:w="1656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OECD 平均</w:t>
            </w:r>
          </w:p>
        </w:tc>
        <w:tc>
          <w:tcPr>
            <w:tcW w:type="dxa" w:w="316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臺灣概況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科學 Science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540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482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與澳門、日本平均分數無顯著差異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數學 Mathematics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546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463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約排名第 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閱讀 Reading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508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461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約排名第 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計算問題解決 CPS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551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500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約排名第 5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587080"/>
          <w:sz w:val="20"/>
        </w:rPr>
        <w:t>2022 至 2025 年間，臺灣科學約增加 2 分、數學約減少 1 分、閱讀約減少 7 分，均未達統計顯著。不可把小幅變動直接解讀為教育品質上升或下降。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3. 基礎能力與頂尖表現</w:t>
      </w:r>
    </w:p>
    <w:p>
      <w:r>
        <w:drawing>
          <wp:inline xmlns:a="http://schemas.openxmlformats.org/drawingml/2006/main" xmlns:pic="http://schemas.openxmlformats.org/drawingml/2006/picture">
            <wp:extent cx="6400800" cy="2282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  <w:jc w:val="center"/>
      </w:pPr>
      <w:r>
        <w:rPr>
          <w:rFonts w:ascii="Microsoft JhengHei" w:hAnsi="Microsoft JhengHei" w:eastAsia="Microsoft JhengHei"/>
          <w:b w:val="0"/>
          <w:color w:val="587080"/>
          <w:sz w:val="18"/>
        </w:rPr>
        <w:t>圖 2　達熟練度第 2 級（Proficiency Level 2）以上比例。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88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領域</w:t>
            </w:r>
          </w:p>
        </w:tc>
        <w:tc>
          <w:tcPr>
            <w:tcW w:type="dxa" w:w="172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臺灣達基準</w:t>
            </w:r>
          </w:p>
        </w:tc>
        <w:tc>
          <w:tcPr>
            <w:tcW w:type="dxa" w:w="180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OECD 達基準</w:t>
            </w:r>
          </w:p>
        </w:tc>
        <w:tc>
          <w:tcPr>
            <w:tcW w:type="dxa" w:w="172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臺灣頂尖</w:t>
            </w:r>
          </w:p>
        </w:tc>
        <w:tc>
          <w:tcPr>
            <w:tcW w:type="dxa" w:w="172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OECD 頂尖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科學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87%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74%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20%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7%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數學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85%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65%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32%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8%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閱讀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82%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69%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13%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6%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數學頂尖表現者比例達 32%，為 OECD 平均 8% 的四倍；同時三大領域的基礎能力覆蓋率均高於 OECD。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4. 公平：社經差距仍然存在</w:t>
      </w: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臺灣社經優勢學生與弱勢學生的科學平均分數相差 91 分，接近 OECD 約 85 分。社經地位解釋臺灣科學表現變異約 11%，OECD 約 12%。弱勢學生中有 11% 進入國內科學表現前四分位，可視為具學業韌性（Academic resilience）；OECD 平均為 12%。</w:t>
      </w: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2006 至 2025 的長期資料顯示，臺灣科學、數學與閱讀維持高表現，但公平不能只看平均分數。學校仍需持續辨識資源取得、學習支持與高品質任務是否平均分布。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5. 學習投入與自我調節</w:t>
      </w:r>
    </w:p>
    <w:p>
      <w:r>
        <w:drawing>
          <wp:inline xmlns:a="http://schemas.openxmlformats.org/drawingml/2006/main" xmlns:pic="http://schemas.openxmlformats.org/drawingml/2006/picture">
            <wp:extent cx="6400800" cy="3264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  <w:jc w:val="center"/>
      </w:pPr>
      <w:r>
        <w:rPr>
          <w:rFonts w:ascii="Microsoft JhengHei" w:hAnsi="Microsoft JhengHei" w:eastAsia="Microsoft JhengHei"/>
          <w:b w:val="0"/>
          <w:color w:val="587080"/>
          <w:sz w:val="18"/>
        </w:rPr>
        <w:t>圖 3　彩色為臺灣，灰色為 OECD 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3312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44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</w:t>
            </w:r>
          </w:p>
        </w:tc>
        <w:tc>
          <w:tcPr>
            <w:tcW w:type="dxa" w:w="144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OECD</w:t>
            </w:r>
          </w:p>
        </w:tc>
        <w:tc>
          <w:tcPr>
            <w:tcW w:type="dxa" w:w="3744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遇難題加倍努力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69%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60%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持續投入較高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成長型思維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46%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69%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明顯較低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規劃讀書方式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30%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37%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需要策略教學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自我提問檢查理解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33%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49%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理解監控較弱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向教師求助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83%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77%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求助文化較強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向同學求助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90%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82%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同儕支持較強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587080"/>
          <w:sz w:val="20"/>
        </w:rPr>
        <w:t>目標設定指數每增加 1 單位，臺灣科學表現關聯增加 9 分（OECD 3 分）；求助指數每增加 1 單位，關聯增加 13 分（OECD 6 分）。這些是統計關聯，不能直接視為因果效果。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6. 數位與人工智慧（AI）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504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304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</w:t>
            </w:r>
          </w:p>
        </w:tc>
        <w:tc>
          <w:tcPr>
            <w:tcW w:type="dxa" w:w="244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OECD 平均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在校數位學習時間／日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1.8 小時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1.7 小時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在校數位休閒時間／日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1.1 小時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1.1 小時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科學課常受數位裝置分心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13%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28%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每週用 AI 協助學習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40%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46%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以 AI 做初步研究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22%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31%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以 AI 摘要文本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20%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以 AI 撰寫草稿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21%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29%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課堂學習評估 AI 生成資訊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65.9%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62.6%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臺灣學生的數位使用時間與 OECD 接近，課堂分心回報較少。OECD 指出，在臺灣，科學課數位分心與科學分數差異並無顯著關聯。這不表示分心沒有影響，而是目前資料不足以支持該關聯。</w:t>
      </w:r>
    </w:p>
    <w:p>
      <w:pPr>
        <w:pStyle w:val="Heading2"/>
        <w:keepNext/>
        <w:spacing w:before="18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可直接採用的 AI 任務設計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保留提示詞、AI 回答與修改紀錄。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用至少兩個可追溯來源查證三項主張。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標示保留、改寫與刪除內容，並說明判斷依據。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評量重點放在證據品質與推理，而非只看輸出流暢度。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7. 校園支持、資源與安全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4752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16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臺灣</w:t>
            </w:r>
          </w:p>
        </w:tc>
        <w:tc>
          <w:tcPr>
            <w:tcW w:type="dxa" w:w="288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OECD 平均／趨勢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教師關心每位學生學習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79%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69%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教師教到學生理解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72%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66%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需要時提供額外協助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84%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73%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每月至少數次遭受霸凌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11%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20%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測驗前兩週曾遲到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38%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50%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教學受師資短缺影響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28%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39%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基礎設施短缺影響教學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8%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2022 年臺灣為 19%</w:t>
            </w:r>
          </w:p>
        </w:tc>
      </w:tr>
    </w:tbl>
    <w:p>
      <w:pPr>
        <w:spacing w:after="40"/>
      </w:pP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家庭支持回報下降：每週詢問孩子在校經驗由 2022 年 62% 降至 2025 年 59%；每週討論在校問題由 58% 降至 53%。OECD 指出這是多數參與教育體系的共同現象。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8. 環境科學與未來職涯</w:t>
      </w:r>
    </w:p>
    <w:p>
      <w:r>
        <w:drawing>
          <wp:inline xmlns:a="http://schemas.openxmlformats.org/drawingml/2006/main" xmlns:pic="http://schemas.openxmlformats.org/drawingml/2006/picture">
            <wp:extent cx="6400800" cy="2773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  <w:jc w:val="center"/>
      </w:pPr>
      <w:r>
        <w:rPr>
          <w:rFonts w:ascii="Microsoft JhengHei" w:hAnsi="Microsoft JhengHei" w:eastAsia="Microsoft JhengHei"/>
          <w:b w:val="0"/>
          <w:color w:val="587080"/>
          <w:sz w:val="18"/>
        </w:rPr>
        <w:t>圖 4　環境素養與行動相關指標。</w:t>
      </w: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臺灣學生在環境科學與行動效能感上表現突出：87% 達環境科學基準、92% 相信自己能帶來正向影響、86% 認為自己知道如何與他人合作。然而，只有 50% 對未來從事環境保護相關工作有興趣，低於 OECD 的 62%。</w:t>
      </w:r>
    </w:p>
    <w:p>
      <w:pPr>
        <w:pStyle w:val="Heading2"/>
        <w:keepNext/>
        <w:spacing w:before="18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教學連結</w:t>
      </w:r>
    </w:p>
    <w:p>
      <w:pPr>
        <w:spacing w:before="0" w:after="140" w:line="307" w:lineRule="auto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把環境議題從「知道」推進到「角色與決策」。可用校園能源、飲食或交通為情境，讓學生分別扮演資料分析師、工程師、設計師、政策溝通者，提出可驗證的改善方案。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9. 四個教學行動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160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388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作法</w:t>
            </w:r>
          </w:p>
        </w:tc>
        <w:tc>
          <w:tcPr>
            <w:tcW w:type="dxa" w:w="3888"/>
            <w:shd w:fill="087E9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學生可回答的問題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教會學習策略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任務前規劃、進行中監控、結束後反思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我何時發現自己沒有理解？下一次要改什麼？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閱讀加入查證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比較兩則立場不同的文本，區分事實、推論與意見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哪一項證據最能改變我的判斷？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AI 從產出轉向評估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保留提示詞，查證並說明修改理由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我保留、修正與拒絕了什麼？為什麼？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環境連結職涯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分派跨專業角色，完成真實情境提案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8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23044"/>
                <w:sz w:val="20"/>
              </w:rPr>
              <w:t>不同職業如何共同解決同一個環境問題？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10. 閱讀資料時的限制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問卷指標可能受文化規範、作答習慣與題意理解影響。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相關關係不能直接解讀為因果；控制社經背景也不等於完成因果識別。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平均分數與排名具有抽樣不確定性；分數接近時未必存在顯著差異。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PISA 評估的是 15 歲學生面對真實情境的知識應用，不等同學校課程考試。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23044"/>
          <w:sz w:val="22"/>
        </w:rPr>
        <w:t>英語外語評量與數位自我導向學習的完整分析預計 2027 年發布。</w:t>
      </w:r>
    </w:p>
    <w:p>
      <w:pPr>
        <w:pStyle w:val="Heading1"/>
        <w:keepNext/>
        <w:spacing w:before="260" w:after="120"/>
      </w:pPr>
      <w:r>
        <w:rPr>
          <w:rFonts w:ascii="Microsoft JhengHei" w:hAnsi="Microsoft JhengHei" w:eastAsia="Microsoft JhengHei"/>
          <w:b/>
          <w:color w:val="000000"/>
          <w:sz w:val="40"/>
        </w:rPr>
        <w:t>資料來源</w:t>
      </w:r>
    </w:p>
    <w:p>
      <w:pPr>
        <w:spacing w:before="0" w:after="100" w:line="307" w:lineRule="auto"/>
      </w:pPr>
      <w:r>
        <w:rPr>
          <w:rFonts w:ascii="Microsoft JhengHei" w:hAnsi="Microsoft JhengHei" w:eastAsia="Microsoft JhengHei"/>
          <w:b w:val="0"/>
          <w:color w:val="087E9A"/>
          <w:sz w:val="20"/>
        </w:rPr>
        <w:t>OECD (2026), PISA 2025 Results (Volume I): Future-Ready Students. DOI: 10.1787/73451bc5-en</w:t>
      </w:r>
    </w:p>
    <w:p>
      <w:pPr>
        <w:spacing w:before="0" w:after="100" w:line="307" w:lineRule="auto"/>
      </w:pPr>
      <w:r>
        <w:rPr>
          <w:rFonts w:ascii="Microsoft JhengHei" w:hAnsi="Microsoft JhengHei" w:eastAsia="Microsoft JhengHei"/>
          <w:b w:val="0"/>
          <w:color w:val="087E9A"/>
          <w:sz w:val="20"/>
        </w:rPr>
        <w:t>OECD (2026), PISA 2025 Results (Volume I): Chinese Taipei - Country Note.</w:t>
      </w:r>
    </w:p>
    <w:p>
      <w:pPr>
        <w:spacing w:before="0" w:after="100" w:line="307" w:lineRule="auto"/>
      </w:pPr>
      <w:r>
        <w:rPr>
          <w:rFonts w:ascii="Microsoft JhengHei" w:hAnsi="Microsoft JhengHei" w:eastAsia="Microsoft JhengHei"/>
          <w:b w:val="0"/>
          <w:color w:val="087E9A"/>
          <w:sz w:val="20"/>
        </w:rPr>
        <w:t>OECD Education GPS: Chinese Taipei - Student performance (PISA 2025).</w:t>
      </w:r>
    </w:p>
    <w:p>
      <w:pPr>
        <w:spacing w:before="200" w:after="140" w:line="307" w:lineRule="auto"/>
      </w:pPr>
      <w:r>
        <w:rPr>
          <w:rFonts w:ascii="Microsoft JhengHei" w:hAnsi="Microsoft JhengHei" w:eastAsia="Microsoft JhengHei"/>
          <w:b w:val="0"/>
          <w:color w:val="587080"/>
          <w:sz w:val="18"/>
        </w:rPr>
        <w:t>授權與改編說明：OECD 原始內容依 Creative Commons Attribution 4.0 International（CC BY 4.0）提供。本文件為繁體中文改編與教學重整；若與原文有出入，以英文原文為準。本文件中的教學解讀不代表 OECD 或其會員國的官方立場。</w:t>
      </w:r>
    </w:p>
    <w:sectPr w:rsidR="00FC693F" w:rsidRPr="0006063C" w:rsidSect="00034616">
      <w:footerReference w:type="default" r:id="rId14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87080"/>
        <w:sz w:val="18"/>
      </w:rPr>
      <w:t xml:space="preserve">PISA 2025 臺灣學習羅盤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PISA 2025 臺灣學習羅盤</dc:title>
  <dc:subject>PISA 2025 臺灣資料解讀與教師教學應用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