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0868" w14:textId="77777777" w:rsidR="000468EB" w:rsidRDefault="000468EB" w:rsidP="000468EB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0468EB">
        <w:rPr>
          <w:rFonts w:ascii="Times New Roman" w:hAnsi="Times New Roman" w:cs="Times New Roman"/>
          <w:i/>
          <w:iCs/>
          <w:sz w:val="24"/>
          <w:szCs w:val="24"/>
        </w:rPr>
        <w:t>Воропаев И. С.</w:t>
      </w:r>
    </w:p>
    <w:p w14:paraId="4CDAC596" w14:textId="7FD26708" w:rsidR="000468EB" w:rsidRPr="00310F01" w:rsidRDefault="000468EB" w:rsidP="00310F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10F01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  <w:r w:rsidR="00310F01" w:rsidRPr="00FD5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10F01">
        <w:rPr>
          <w:rFonts w:ascii="Times New Roman" w:hAnsi="Times New Roman" w:cs="Times New Roman"/>
          <w:b/>
          <w:bCs/>
          <w:sz w:val="28"/>
          <w:szCs w:val="28"/>
        </w:rPr>
        <w:t xml:space="preserve"> «Терагерцовые технологии в системах связи 6</w:t>
      </w:r>
      <w:r w:rsidRPr="0031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Pr="00310F0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13F20">
        <w:rPr>
          <w:rFonts w:ascii="Times New Roman" w:hAnsi="Times New Roman" w:cs="Times New Roman"/>
          <w:b/>
          <w:bCs/>
          <w:sz w:val="28"/>
          <w:szCs w:val="28"/>
        </w:rPr>
        <w:t>проблемы и исследования</w:t>
      </w:r>
      <w:r w:rsidRPr="00310F0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BABB10" w14:textId="4651D810" w:rsidR="00AF39B3" w:rsidRPr="007175B5" w:rsidRDefault="00973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5B5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39E237AF" w14:textId="67AA0A8A" w:rsidR="009730C2" w:rsidRPr="00F70C5C" w:rsidRDefault="002C73A9">
      <w:pPr>
        <w:rPr>
          <w:rFonts w:ascii="Times New Roman" w:hAnsi="Times New Roman" w:cs="Times New Roman"/>
          <w:sz w:val="24"/>
          <w:szCs w:val="24"/>
        </w:rPr>
      </w:pPr>
      <w:r w:rsidRPr="00F70C5C">
        <w:rPr>
          <w:rFonts w:ascii="Times New Roman" w:hAnsi="Times New Roman" w:cs="Times New Roman"/>
          <w:sz w:val="24"/>
          <w:szCs w:val="24"/>
        </w:rPr>
        <w:t>Развитие мобильных и беспроводных систем связи демонстрирует устойчивую тенденцию к экспоненциальному росту требований по пропускной способности, задержке и надежности передачи данных. Ожидается, что сети шестого поколения (6</w:t>
      </w:r>
      <w:r w:rsidRPr="00F70C5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70C5C">
        <w:rPr>
          <w:rFonts w:ascii="Times New Roman" w:hAnsi="Times New Roman" w:cs="Times New Roman"/>
          <w:sz w:val="24"/>
          <w:szCs w:val="24"/>
        </w:rPr>
        <w:t>), внедрение которых прогнозируется на период после 2030 года, должны обеспечивать пиковые скорости передачи данных на уровне терабит в секунду (</w:t>
      </w:r>
      <w:r w:rsidR="00BC1971">
        <w:rPr>
          <w:rFonts w:ascii="Times New Roman" w:hAnsi="Times New Roman" w:cs="Times New Roman"/>
          <w:sz w:val="24"/>
          <w:szCs w:val="24"/>
        </w:rPr>
        <w:t>Тб</w:t>
      </w:r>
      <w:r w:rsidR="00BC1971" w:rsidRPr="00BC1971">
        <w:rPr>
          <w:rFonts w:ascii="Times New Roman" w:hAnsi="Times New Roman" w:cs="Times New Roman"/>
          <w:sz w:val="24"/>
          <w:szCs w:val="24"/>
        </w:rPr>
        <w:t>/</w:t>
      </w:r>
      <w:r w:rsidR="00BC1971">
        <w:rPr>
          <w:rFonts w:ascii="Times New Roman" w:hAnsi="Times New Roman" w:cs="Times New Roman"/>
          <w:sz w:val="24"/>
          <w:szCs w:val="24"/>
        </w:rPr>
        <w:t>с</w:t>
      </w:r>
      <w:r w:rsidRPr="00F70C5C">
        <w:rPr>
          <w:rFonts w:ascii="Times New Roman" w:hAnsi="Times New Roman" w:cs="Times New Roman"/>
          <w:sz w:val="24"/>
          <w:szCs w:val="24"/>
        </w:rPr>
        <w:t>), сверхмалые задержки, а также поддержку новых сервисов, таких</w:t>
      </w:r>
      <w:r w:rsidR="00EA47FD" w:rsidRPr="00EA47FD">
        <w:rPr>
          <w:rFonts w:ascii="Times New Roman" w:hAnsi="Times New Roman" w:cs="Times New Roman"/>
          <w:sz w:val="24"/>
          <w:szCs w:val="24"/>
        </w:rPr>
        <w:t xml:space="preserve"> </w:t>
      </w:r>
      <w:r w:rsidR="00EA47FD">
        <w:rPr>
          <w:rFonts w:ascii="Times New Roman" w:hAnsi="Times New Roman" w:cs="Times New Roman"/>
          <w:sz w:val="24"/>
          <w:szCs w:val="24"/>
        </w:rPr>
        <w:t>как, например, иммерсивная связь (связь с эффектом полного физического присутствия собеседника)</w:t>
      </w:r>
      <w:r w:rsidR="00A55AE9">
        <w:rPr>
          <w:rFonts w:ascii="Times New Roman" w:hAnsi="Times New Roman" w:cs="Times New Roman"/>
          <w:sz w:val="24"/>
          <w:szCs w:val="24"/>
        </w:rPr>
        <w:t xml:space="preserve"> </w:t>
      </w:r>
      <w:r w:rsidR="00A55AE9" w:rsidRPr="00A55AE9">
        <w:rPr>
          <w:rFonts w:ascii="Times New Roman" w:hAnsi="Times New Roman" w:cs="Times New Roman"/>
          <w:sz w:val="24"/>
          <w:szCs w:val="24"/>
        </w:rPr>
        <w:t>[</w:t>
      </w:r>
      <w:r w:rsidR="00A55AE9" w:rsidRPr="008D5A6D">
        <w:rPr>
          <w:rFonts w:ascii="Times New Roman" w:hAnsi="Times New Roman" w:cs="Times New Roman"/>
          <w:sz w:val="24"/>
          <w:szCs w:val="24"/>
        </w:rPr>
        <w:t>1</w:t>
      </w:r>
      <w:r w:rsidR="00A55AE9" w:rsidRPr="00A55AE9">
        <w:rPr>
          <w:rFonts w:ascii="Times New Roman" w:hAnsi="Times New Roman" w:cs="Times New Roman"/>
          <w:sz w:val="24"/>
          <w:szCs w:val="24"/>
        </w:rPr>
        <w:t>]</w:t>
      </w:r>
      <w:r w:rsidRPr="00F70C5C">
        <w:rPr>
          <w:rFonts w:ascii="Times New Roman" w:hAnsi="Times New Roman" w:cs="Times New Roman"/>
          <w:sz w:val="24"/>
          <w:szCs w:val="24"/>
        </w:rPr>
        <w:t>. Традиционны</w:t>
      </w:r>
      <w:r w:rsidR="00EA47FD">
        <w:rPr>
          <w:rFonts w:ascii="Times New Roman" w:hAnsi="Times New Roman" w:cs="Times New Roman"/>
          <w:sz w:val="24"/>
          <w:szCs w:val="24"/>
        </w:rPr>
        <w:t>х</w:t>
      </w:r>
      <w:r w:rsidRPr="00F70C5C">
        <w:rPr>
          <w:rFonts w:ascii="Times New Roman" w:hAnsi="Times New Roman" w:cs="Times New Roman"/>
          <w:sz w:val="24"/>
          <w:szCs w:val="24"/>
        </w:rPr>
        <w:t xml:space="preserve"> диапазон</w:t>
      </w:r>
      <w:r w:rsidR="00EA47FD">
        <w:rPr>
          <w:rFonts w:ascii="Times New Roman" w:hAnsi="Times New Roman" w:cs="Times New Roman"/>
          <w:sz w:val="24"/>
          <w:szCs w:val="24"/>
        </w:rPr>
        <w:t xml:space="preserve">ов </w:t>
      </w:r>
      <w:r w:rsidRPr="00F70C5C">
        <w:rPr>
          <w:rFonts w:ascii="Times New Roman" w:hAnsi="Times New Roman" w:cs="Times New Roman"/>
          <w:sz w:val="24"/>
          <w:szCs w:val="24"/>
        </w:rPr>
        <w:t>радиочастот, используемы</w:t>
      </w:r>
      <w:r w:rsidR="00EA47FD">
        <w:rPr>
          <w:rFonts w:ascii="Times New Roman" w:hAnsi="Times New Roman" w:cs="Times New Roman"/>
          <w:sz w:val="24"/>
          <w:szCs w:val="24"/>
        </w:rPr>
        <w:t>х</w:t>
      </w:r>
      <w:r w:rsidRPr="00F70C5C">
        <w:rPr>
          <w:rFonts w:ascii="Times New Roman" w:hAnsi="Times New Roman" w:cs="Times New Roman"/>
          <w:sz w:val="24"/>
          <w:szCs w:val="24"/>
        </w:rPr>
        <w:t xml:space="preserve"> в сетях предыдущих поколений, </w:t>
      </w:r>
      <w:r w:rsidR="00EA47FD">
        <w:rPr>
          <w:rFonts w:ascii="Times New Roman" w:hAnsi="Times New Roman" w:cs="Times New Roman"/>
          <w:sz w:val="24"/>
          <w:szCs w:val="24"/>
        </w:rPr>
        <w:t>будет недостаточно для поддержки таких нагруженных сервисов,</w:t>
      </w:r>
      <w:r w:rsidRPr="00F70C5C">
        <w:rPr>
          <w:rFonts w:ascii="Times New Roman" w:hAnsi="Times New Roman" w:cs="Times New Roman"/>
          <w:sz w:val="24"/>
          <w:szCs w:val="24"/>
        </w:rPr>
        <w:t xml:space="preserve"> что делает необходимым переход к принципиально новым спектральным ресурсам</w:t>
      </w:r>
      <w:r w:rsidR="008D5A6D">
        <w:rPr>
          <w:rFonts w:ascii="Times New Roman" w:hAnsi="Times New Roman" w:cs="Times New Roman"/>
          <w:sz w:val="24"/>
          <w:szCs w:val="24"/>
        </w:rPr>
        <w:t xml:space="preserve">. </w:t>
      </w:r>
      <w:r w:rsidRPr="00F70C5C">
        <w:rPr>
          <w:rFonts w:ascii="Times New Roman" w:hAnsi="Times New Roman" w:cs="Times New Roman"/>
          <w:sz w:val="24"/>
          <w:szCs w:val="24"/>
        </w:rPr>
        <w:t>Фундаментальная связь между пропускной способностью канала, шириной полосы частот и отношением сигнал–шум описывается формулой Шеннона:</w:t>
      </w:r>
    </w:p>
    <w:p w14:paraId="368B0D38" w14:textId="2883272C" w:rsidR="009E7CBC" w:rsidRPr="00F70C5C" w:rsidRDefault="009E7CB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C=W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</m:func>
        </m:oMath>
      </m:oMathPara>
    </w:p>
    <w:p w14:paraId="0C8A0A05" w14:textId="59A7D447" w:rsidR="004C28A1" w:rsidRPr="00F70C5C" w:rsidRDefault="000B71DB">
      <w:pPr>
        <w:rPr>
          <w:rFonts w:ascii="Times New Roman" w:eastAsiaTheme="minorEastAsia" w:hAnsi="Times New Roman" w:cs="Times New Roman"/>
          <w:sz w:val="24"/>
          <w:szCs w:val="24"/>
        </w:rPr>
      </w:pPr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– пропускная способность,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– ширина полоса частот,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– мощность принимаемого сигнала,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– спектральная плотность мощности шума</w:t>
      </w:r>
      <w:r w:rsidR="008D5A6D">
        <w:rPr>
          <w:rFonts w:ascii="Times New Roman" w:eastAsiaTheme="minorEastAsia" w:hAnsi="Times New Roman" w:cs="Times New Roman"/>
          <w:sz w:val="24"/>
          <w:szCs w:val="24"/>
        </w:rPr>
        <w:t xml:space="preserve"> в используемой полосе</w:t>
      </w:r>
      <w:r w:rsidRPr="00F70C5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301BB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Из данного выражения следует, что увеличение пропускной способности может быть достигнуто как за счет повышения отношения сигнал–шум (ОСШ), так и за счет расширения используемой полосы частот. Однако на практике рост ОСШ ограничен требованиями по энергопотреблению, электромагнитной совместимости и физическими характеристиками радиоканала. В связи с этим ключевым направлением повышения пропускной способности становится переход к более широким полосам частот.</w:t>
      </w:r>
    </w:p>
    <w:p w14:paraId="23EE66B5" w14:textId="7262A138" w:rsidR="004C28A1" w:rsidRPr="00F70C5C" w:rsidRDefault="00B742A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спектра, используемом в системах 4/5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(ГГц диапазон) нет настолько широких полос, чтоб обеспечить скорость передачи данных порядка 1 Тб/с. </w:t>
      </w:r>
      <w:r w:rsidR="004C28A1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Терагерцовый (ТГц) диапазон (область частот приблизительно от 0.1 до 10 ТГц) представляет собой перспективный спектральный ресурс для систем 6G. В данном диапазоне потенциально доступны непрерывные полосы шириной в десятки и сотни гигагерц. Это делает ТГц-диапазон естественным кандидатом для реализации </w:t>
      </w:r>
      <w:r w:rsidR="004D63B7">
        <w:rPr>
          <w:rFonts w:ascii="Times New Roman" w:eastAsiaTheme="minorEastAsia" w:hAnsi="Times New Roman" w:cs="Times New Roman"/>
          <w:sz w:val="24"/>
          <w:szCs w:val="24"/>
        </w:rPr>
        <w:t xml:space="preserve">сервисов, требующих высоких </w:t>
      </w:r>
      <w:r w:rsidR="004C28A1" w:rsidRPr="00F70C5C">
        <w:rPr>
          <w:rFonts w:ascii="Times New Roman" w:eastAsiaTheme="minorEastAsia" w:hAnsi="Times New Roman" w:cs="Times New Roman"/>
          <w:sz w:val="24"/>
          <w:szCs w:val="24"/>
        </w:rPr>
        <w:t>скоростей передачи данных.</w:t>
      </w:r>
    </w:p>
    <w:p w14:paraId="1F24FA07" w14:textId="512F5A4C" w:rsidR="007F1DEF" w:rsidRPr="00F70C5C" w:rsidRDefault="007F1DEF">
      <w:pPr>
        <w:rPr>
          <w:rFonts w:ascii="Times New Roman" w:eastAsiaTheme="minorEastAsia" w:hAnsi="Times New Roman" w:cs="Times New Roman"/>
          <w:sz w:val="24"/>
          <w:szCs w:val="24"/>
        </w:rPr>
      </w:pPr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В то же время использование терагерцовых частот сопровождается рядом фундаментальных и инженерных вызовов. К ним относятся сильные потери на распространение, молекулярное поглощение в атмосфере, а также ограничения, связанные с реализацией источников, приемников и антенн, способных эффективно работать на таких частотах. Тем не менее, как показано в ряде обзорных работ, в частности в исследовании </w:t>
      </w:r>
      <w:r w:rsidR="006863E8" w:rsidRPr="006863E8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F70C5C">
        <w:rPr>
          <w:rFonts w:ascii="Times New Roman" w:eastAsiaTheme="minorEastAsia" w:hAnsi="Times New Roman" w:cs="Times New Roman"/>
          <w:sz w:val="24"/>
          <w:szCs w:val="24"/>
        </w:rPr>
        <w:t xml:space="preserve">, развитие полупроводниковых технологий, </w:t>
      </w:r>
      <w:r w:rsidR="00484980">
        <w:rPr>
          <w:rFonts w:ascii="Times New Roman" w:eastAsiaTheme="minorEastAsia" w:hAnsi="Times New Roman" w:cs="Times New Roman"/>
          <w:sz w:val="24"/>
          <w:szCs w:val="24"/>
        </w:rPr>
        <w:t xml:space="preserve">вычислительной техники, </w:t>
      </w:r>
      <w:r w:rsidRPr="00F70C5C">
        <w:rPr>
          <w:rFonts w:ascii="Times New Roman" w:eastAsiaTheme="minorEastAsia" w:hAnsi="Times New Roman" w:cs="Times New Roman"/>
          <w:sz w:val="24"/>
          <w:szCs w:val="24"/>
        </w:rPr>
        <w:t>антенных систем и методов формирования луча делает практическое применение терагерцовой связи в рамках 6G все более реалистичным.</w:t>
      </w:r>
    </w:p>
    <w:p w14:paraId="3364EB66" w14:textId="5A1481E6" w:rsidR="00484980" w:rsidRPr="00413F20" w:rsidRDefault="00C10CD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данном 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>реферат</w:t>
      </w:r>
      <w:r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представлен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70C5C">
        <w:rPr>
          <w:rFonts w:ascii="Times New Roman" w:eastAsiaTheme="minorEastAsia" w:hAnsi="Times New Roman" w:cs="Times New Roman"/>
          <w:sz w:val="24"/>
          <w:szCs w:val="24"/>
        </w:rPr>
        <w:t>обзор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терагерцовых технологий в сетях шестого поколения. В работе рассматриваются физические особенности терагерцового диапазона, технологии построения передатчиков и приемников, </w:t>
      </w:r>
      <w:r w:rsidR="00484980">
        <w:rPr>
          <w:rFonts w:ascii="Times New Roman" w:eastAsiaTheme="minorEastAsia" w:hAnsi="Times New Roman" w:cs="Times New Roman"/>
          <w:sz w:val="24"/>
          <w:szCs w:val="24"/>
        </w:rPr>
        <w:t>свойства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 канала распространения</w:t>
      </w:r>
      <w:r w:rsidR="00484980">
        <w:rPr>
          <w:rFonts w:ascii="Times New Roman" w:eastAsiaTheme="minorEastAsia" w:hAnsi="Times New Roman" w:cs="Times New Roman"/>
          <w:sz w:val="24"/>
          <w:szCs w:val="24"/>
        </w:rPr>
        <w:t xml:space="preserve"> в ТГц диапазоне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 xml:space="preserve">, а также </w:t>
      </w:r>
      <w:r w:rsidR="00484980">
        <w:rPr>
          <w:rFonts w:ascii="Times New Roman" w:eastAsiaTheme="minorEastAsia" w:hAnsi="Times New Roman" w:cs="Times New Roman"/>
          <w:sz w:val="24"/>
          <w:szCs w:val="24"/>
        </w:rPr>
        <w:t>технологии формирования сигналов для различных сценариев связи в системах 6</w:t>
      </w:r>
      <w:r w:rsidR="00484980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="007F1DEF" w:rsidRPr="00F70C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E08A6C3" w14:textId="6C8131EB" w:rsidR="006863E8" w:rsidRPr="007175B5" w:rsidRDefault="002528B2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175B5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Выбор частотного диапазона для системы связи 6</w:t>
      </w:r>
      <w:r w:rsidRPr="007175B5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G</w:t>
      </w:r>
    </w:p>
    <w:p w14:paraId="67693895" w14:textId="3327DFAC" w:rsidR="00520279" w:rsidRPr="00D46F79" w:rsidRDefault="0052027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Изначальной целью ТГц диапазона для систем 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был диапазон 0.3–1.0 ТГц. Однако, учитывая опыт проектирования систем 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>, в которых изначально планировалось активно использовать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диапазон мм-волн 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), но доминирующим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 все равно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стал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 микроволновый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диапазон до 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примерно 7 </w:t>
      </w:r>
      <w:r>
        <w:rPr>
          <w:rFonts w:ascii="Times New Roman" w:eastAsiaTheme="minorEastAsia" w:hAnsi="Times New Roman" w:cs="Times New Roman"/>
          <w:sz w:val="24"/>
          <w:szCs w:val="24"/>
        </w:rPr>
        <w:t>ГГц 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), со временем целевой частотный диапазон для систем 6-го поколения сменился на </w:t>
      </w:r>
      <w:r w:rsidRPr="00520279">
        <w:rPr>
          <w:rFonts w:ascii="Times New Roman" w:eastAsiaTheme="minorEastAsia" w:hAnsi="Times New Roman" w:cs="Times New Roman"/>
          <w:sz w:val="24"/>
          <w:szCs w:val="24"/>
        </w:rPr>
        <w:t xml:space="preserve">70-170 </w:t>
      </w:r>
      <w:r>
        <w:rPr>
          <w:rFonts w:ascii="Times New Roman" w:eastAsiaTheme="minorEastAsia" w:hAnsi="Times New Roman" w:cs="Times New Roman"/>
          <w:sz w:val="24"/>
          <w:szCs w:val="24"/>
        </w:rPr>
        <w:t>ГГц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943F5C">
        <w:rPr>
          <w:rFonts w:ascii="Times New Roman" w:eastAsiaTheme="minorEastAsia" w:hAnsi="Times New Roman" w:cs="Times New Roman"/>
          <w:sz w:val="24"/>
          <w:szCs w:val="24"/>
          <w:lang w:val="en-US"/>
        </w:rPr>
        <w:t>W</w:t>
      </w:r>
      <w:r w:rsidR="00943F5C" w:rsidRPr="00943F5C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943F5C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="00943F5C" w:rsidRPr="00943F5C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диапазоны), </w:t>
      </w:r>
      <w:r w:rsidR="00FF0B74">
        <w:rPr>
          <w:rFonts w:ascii="Times New Roman" w:eastAsiaTheme="minorEastAsia" w:hAnsi="Times New Roman" w:cs="Times New Roman"/>
          <w:sz w:val="24"/>
          <w:szCs w:val="24"/>
        </w:rPr>
        <w:t>который</w:t>
      </w:r>
      <w:r w:rsidR="00943F5C">
        <w:rPr>
          <w:rFonts w:ascii="Times New Roman" w:eastAsiaTheme="minorEastAsia" w:hAnsi="Times New Roman" w:cs="Times New Roman"/>
          <w:sz w:val="24"/>
          <w:szCs w:val="24"/>
        </w:rPr>
        <w:t xml:space="preserve"> является нижней границей ТГц диапазона.</w:t>
      </w:r>
    </w:p>
    <w:p w14:paraId="5C007523" w14:textId="47D50481" w:rsidR="002528B2" w:rsidRPr="00520279" w:rsidRDefault="00D46F7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Ф</w:t>
      </w:r>
      <w:r w:rsidR="00520279" w:rsidRPr="00520279">
        <w:rPr>
          <w:rFonts w:ascii="Times New Roman" w:eastAsiaTheme="minorEastAsia" w:hAnsi="Times New Roman" w:cs="Times New Roman"/>
          <w:sz w:val="24"/>
          <w:szCs w:val="24"/>
        </w:rPr>
        <w:t xml:space="preserve">изические особенности </w:t>
      </w:r>
      <w:r>
        <w:rPr>
          <w:rFonts w:ascii="Times New Roman" w:eastAsiaTheme="minorEastAsia" w:hAnsi="Times New Roman" w:cs="Times New Roman"/>
          <w:sz w:val="24"/>
          <w:szCs w:val="24"/>
        </w:rPr>
        <w:t>описанного диапазона</w:t>
      </w:r>
      <w:r w:rsidR="00520279" w:rsidRPr="00520279">
        <w:rPr>
          <w:rFonts w:ascii="Times New Roman" w:eastAsiaTheme="minorEastAsia" w:hAnsi="Times New Roman" w:cs="Times New Roman"/>
          <w:sz w:val="24"/>
          <w:szCs w:val="24"/>
        </w:rPr>
        <w:t xml:space="preserve"> придают ему ряд отличительных свойств, которые необходимо учитывать при проектировании систем</w:t>
      </w:r>
      <w:r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520279" w:rsidRPr="00520279">
        <w:rPr>
          <w:rFonts w:ascii="Times New Roman" w:eastAsiaTheme="minorEastAsia" w:hAnsi="Times New Roman" w:cs="Times New Roman"/>
          <w:sz w:val="24"/>
          <w:szCs w:val="24"/>
        </w:rPr>
        <w:t xml:space="preserve"> связи.</w:t>
      </w:r>
    </w:p>
    <w:p w14:paraId="768F0A4C" w14:textId="297BBCAD" w:rsidR="002206EF" w:rsidRPr="00AE4CBE" w:rsidRDefault="00C10CD2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A87F56">
        <w:rPr>
          <w:rFonts w:ascii="Times New Roman" w:eastAsiaTheme="minorEastAsia" w:hAnsi="Times New Roman" w:cs="Times New Roman"/>
          <w:b/>
          <w:bCs/>
          <w:sz w:val="24"/>
          <w:szCs w:val="24"/>
        </w:rPr>
        <w:t>Особенности распространения радиоволн в ТГц диапазоне</w:t>
      </w:r>
    </w:p>
    <w:p w14:paraId="36D1C423" w14:textId="435C5570" w:rsidR="004141FE" w:rsidRPr="007175B5" w:rsidRDefault="008B403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Помимо плюсов с точки зрения пропускной способности (в теории), которые вносит переход на несущие частоты в ТГц диапазоне, возникают и существенные проблемы, связанные с распространением волн в данном диапазоне</w:t>
      </w:r>
      <w:r w:rsidR="00667E6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7E67" w:rsidRPr="00667E67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667E67" w:rsidRPr="00AD7F07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667E67" w:rsidRPr="00667E67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54074E8" w14:textId="3F8EB3DE" w:rsidR="004141FE" w:rsidRDefault="004141FE" w:rsidP="004141FE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Потери при распространении в свободном пространстве</w:t>
      </w:r>
      <w:r w:rsidR="008B403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BCC2B8B" w14:textId="1517F517" w:rsidR="00CD2494" w:rsidRPr="00CD2494" w:rsidRDefault="008B4030" w:rsidP="008B4030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Одной из проблем являются потери от распространения в свободном пространстве. </w:t>
      </w:r>
      <w:r w:rsidR="00CD2494">
        <w:rPr>
          <w:rFonts w:ascii="Times New Roman" w:eastAsiaTheme="minorEastAsia" w:hAnsi="Times New Roman" w:cs="Times New Roman"/>
          <w:sz w:val="24"/>
          <w:szCs w:val="24"/>
        </w:rPr>
        <w:t xml:space="preserve">Как известно, соотношение между мощности на приемнике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  <w:r w:rsidR="00CD2494" w:rsidRPr="00CD24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2494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765631">
        <w:rPr>
          <w:rFonts w:ascii="Times New Roman" w:eastAsiaTheme="minorEastAsia" w:hAnsi="Times New Roman" w:cs="Times New Roman"/>
          <w:sz w:val="24"/>
          <w:szCs w:val="24"/>
        </w:rPr>
        <w:t>мощности на</w:t>
      </w:r>
      <w:r w:rsidR="00CD2494">
        <w:rPr>
          <w:rFonts w:ascii="Times New Roman" w:eastAsiaTheme="minorEastAsia" w:hAnsi="Times New Roman" w:cs="Times New Roman"/>
          <w:sz w:val="24"/>
          <w:szCs w:val="24"/>
        </w:rPr>
        <w:t xml:space="preserve"> передатчике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sub>
        </m:sSub>
      </m:oMath>
      <w:r w:rsidR="00CD2494" w:rsidRPr="00CD24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2494">
        <w:rPr>
          <w:rFonts w:ascii="Times New Roman" w:eastAsiaTheme="minorEastAsia" w:hAnsi="Times New Roman" w:cs="Times New Roman"/>
          <w:sz w:val="24"/>
          <w:szCs w:val="24"/>
        </w:rPr>
        <w:t xml:space="preserve">определяется формулой </w:t>
      </w:r>
      <w:proofErr w:type="spellStart"/>
      <w:r w:rsidR="00CD2494">
        <w:rPr>
          <w:rFonts w:ascii="Times New Roman" w:eastAsiaTheme="minorEastAsia" w:hAnsi="Times New Roman" w:cs="Times New Roman"/>
          <w:sz w:val="24"/>
          <w:szCs w:val="24"/>
        </w:rPr>
        <w:t>Фрииса</w:t>
      </w:r>
      <w:proofErr w:type="spellEnd"/>
      <w:r w:rsidR="00CD2494" w:rsidRPr="00CD2494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1CAFAFB" w14:textId="199FD7A0" w:rsidR="008B4030" w:rsidRPr="00CD2494" w:rsidRDefault="00000000" w:rsidP="00CD2494">
      <w:pPr>
        <w:pStyle w:val="a7"/>
        <w:ind w:left="36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75E62502" w14:textId="25D6CAC8" w:rsidR="00CD2494" w:rsidRDefault="00CD2494" w:rsidP="00CD2494">
      <w:pPr>
        <w:pStyle w:val="a7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sub>
        </m:sSub>
      </m:oMath>
      <w:r w:rsidRPr="00CD249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коэффициент усиления передающей антенны в направлении приемной,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</m:oMath>
      <w:r w:rsidRPr="00CD2494">
        <w:rPr>
          <w:rFonts w:ascii="Times New Roman" w:eastAsiaTheme="minorEastAsia" w:hAnsi="Times New Roman" w:cs="Times New Roman"/>
          <w:iCs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коэффициент усиления приемной антенны в направлении передающей</w:t>
      </w:r>
      <w:r w:rsid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765631"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6563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765631"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между приемником и передатчиком,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λ</m:t>
        </m:r>
      </m:oMath>
      <w:r w:rsidR="00765631"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6563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765631"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65631">
        <w:rPr>
          <w:rFonts w:ascii="Times New Roman" w:eastAsiaTheme="minorEastAsia" w:hAnsi="Times New Roman" w:cs="Times New Roman"/>
          <w:iCs/>
          <w:sz w:val="24"/>
          <w:szCs w:val="24"/>
        </w:rPr>
        <w:t>длина волны несущего колебания.</w:t>
      </w:r>
    </w:p>
    <w:p w14:paraId="23243FA6" w14:textId="049176C1" w:rsidR="0046502C" w:rsidRDefault="00765631" w:rsidP="00CD2494">
      <w:pPr>
        <w:pStyle w:val="a7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данной формулы видно, что потери пропорциональны квадрату длины волны, таким образом можно оценить, что при прочих равных, потери от распространения ТГц излучения в системе 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>~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0.1 ТГц)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будут в 10 000 раз сильнее потерь на распространение волн в системах 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(~1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ГГц</w:t>
      </w:r>
      <w:r w:rsidRPr="0076563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46502C">
        <w:rPr>
          <w:rFonts w:ascii="Times New Roman" w:eastAsiaTheme="minorEastAsia" w:hAnsi="Times New Roman" w:cs="Times New Roman"/>
          <w:iCs/>
          <w:sz w:val="24"/>
          <w:szCs w:val="24"/>
        </w:rPr>
        <w:t>. Исходя из такой оценки можно заключить, что связь в ТГц диапазоне будет доступна на меньшие расстояния. Для увеличения дальности связи будут необходимы антенны с очень высоким коэффициентом усиления (высоконаправленные).</w:t>
      </w:r>
      <w:r w:rsidR="00EF235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Особенно эффективны такие приемопередатчики будут в неподвижных системах связи (например системах умного дома или связи между 2 неподвижными базовыми станциями).</w:t>
      </w:r>
    </w:p>
    <w:p w14:paraId="4E345C46" w14:textId="2104E611" w:rsidR="00765631" w:rsidRPr="00296487" w:rsidRDefault="0046502C" w:rsidP="00CD2494">
      <w:pPr>
        <w:pStyle w:val="a7"/>
        <w:ind w:left="36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Однако в случае, если положение приемника неизвестно</w:t>
      </w:r>
      <w:r w:rsidR="00EF235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(для абонентов в мобильных сетях это обычно именно так)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использование </w:t>
      </w:r>
      <w:r w:rsidR="00F41B1C">
        <w:rPr>
          <w:rFonts w:ascii="Times New Roman" w:eastAsiaTheme="minorEastAsia" w:hAnsi="Times New Roman" w:cs="Times New Roman"/>
          <w:iCs/>
          <w:sz w:val="24"/>
          <w:szCs w:val="24"/>
        </w:rPr>
        <w:t>высоконаправленных антенн будет сопровождаться задачей определения направления на приемник</w:t>
      </w:r>
      <w:r w:rsidR="00296487" w:rsidRPr="002964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96487">
        <w:rPr>
          <w:rFonts w:ascii="Times New Roman" w:eastAsiaTheme="minorEastAsia" w:hAnsi="Times New Roman" w:cs="Times New Roman"/>
          <w:iCs/>
          <w:sz w:val="24"/>
          <w:szCs w:val="24"/>
        </w:rPr>
        <w:t>и подстройки диаграммы направленности.</w:t>
      </w:r>
    </w:p>
    <w:p w14:paraId="0D644B87" w14:textId="63BB87FE" w:rsidR="004141FE" w:rsidRDefault="004141FE" w:rsidP="004141FE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Потери при распространении в атмосфере</w:t>
      </w:r>
      <w:r w:rsidR="00A87F5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69EF34" w14:textId="4308F62A" w:rsidR="00A87F56" w:rsidRPr="00AE4CBE" w:rsidRDefault="00A87F56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2A3690">
        <w:rPr>
          <w:rFonts w:ascii="Times New Roman" w:eastAsiaTheme="minorEastAsia" w:hAnsi="Times New Roman" w:cs="Times New Roman"/>
          <w:sz w:val="24"/>
          <w:szCs w:val="24"/>
        </w:rPr>
        <w:t xml:space="preserve"> добавок к потерям, описанным в предыдущем пункте, которые свойственны свободному пространству, существуют потери, связанные с распространением волн в атмосфере. Для ТГц волн эти потери имеют некоторые характерные особенности.</w:t>
      </w:r>
    </w:p>
    <w:p w14:paraId="7A7B662E" w14:textId="10E650E4" w:rsidR="00FB35C5" w:rsidRPr="00AE4CBE" w:rsidRDefault="00AD7F07" w:rsidP="00FB35C5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 сравнению с диапазоном частот в сетях </w:t>
      </w:r>
      <w:r w:rsidRPr="00AD7F07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AD7F0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(ниже 6 ГГц), в описываемом ТГц диапазоне поглощение волн в атмосфере достаточно большое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 xml:space="preserve"> (Рис. 1</w:t>
      </w:r>
      <w:r w:rsidR="000F3E98">
        <w:rPr>
          <w:rFonts w:ascii="Times New Roman" w:eastAsiaTheme="minorEastAsia" w:hAnsi="Times New Roman" w:cs="Times New Roman"/>
          <w:sz w:val="24"/>
          <w:szCs w:val="24"/>
        </w:rPr>
        <w:t>(а)</w:t>
      </w:r>
      <w:r w:rsidR="008848F7" w:rsidRPr="008848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848F7" w:rsidRPr="00CC7B31">
        <w:rPr>
          <w:rFonts w:ascii="Times New Roman" w:eastAsiaTheme="minorEastAsia" w:hAnsi="Times New Roman" w:cs="Times New Roman"/>
          <w:sz w:val="24"/>
          <w:szCs w:val="24"/>
        </w:rPr>
        <w:t>[2]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 xml:space="preserve">Пики, наблюдаемые </w:t>
      </w:r>
      <w:r w:rsidR="00714A24">
        <w:rPr>
          <w:rFonts w:ascii="Times New Roman" w:eastAsiaTheme="minorEastAsia" w:hAnsi="Times New Roman" w:cs="Times New Roman"/>
          <w:sz w:val="24"/>
          <w:szCs w:val="24"/>
        </w:rPr>
        <w:t>на данном графике,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соответствуют резонансу поглощения на различных частотах для молекул водяного пара</w:t>
      </w:r>
      <w:r w:rsidR="00714A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O</m:t>
        </m:r>
      </m:oMath>
      <w:r w:rsidR="000905BB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63848">
        <w:rPr>
          <w:rFonts w:ascii="Times New Roman" w:eastAsiaTheme="minorEastAsia" w:hAnsi="Times New Roman" w:cs="Times New Roman"/>
          <w:sz w:val="24"/>
          <w:szCs w:val="24"/>
        </w:rPr>
        <w:t xml:space="preserve">примерно 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>183 ГГц, 323 ГГц, 380 ГГц</w:t>
      </w:r>
      <w:r w:rsidR="0026721D" w:rsidRPr="0026721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26721D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>) и молекул кислорода</w:t>
      </w:r>
      <w:r w:rsidR="0026721D" w:rsidRPr="002672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0905BB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63848">
        <w:rPr>
          <w:rFonts w:ascii="Times New Roman" w:eastAsiaTheme="minorEastAsia" w:hAnsi="Times New Roman" w:cs="Times New Roman"/>
          <w:sz w:val="24"/>
          <w:szCs w:val="24"/>
        </w:rPr>
        <w:t xml:space="preserve">примерно </w:t>
      </w:r>
      <w:r w:rsidR="000905BB">
        <w:rPr>
          <w:rFonts w:ascii="Times New Roman" w:eastAsiaTheme="minorEastAsia" w:hAnsi="Times New Roman" w:cs="Times New Roman"/>
          <w:sz w:val="24"/>
          <w:szCs w:val="24"/>
        </w:rPr>
        <w:t>119 ГГц)</w:t>
      </w:r>
      <w:r w:rsidR="000417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4177D" w:rsidRPr="00F63848">
        <w:rPr>
          <w:rFonts w:ascii="Times New Roman" w:eastAsiaTheme="minorEastAsia" w:hAnsi="Times New Roman" w:cs="Times New Roman"/>
          <w:sz w:val="24"/>
          <w:szCs w:val="24"/>
        </w:rPr>
        <w:t>[2]</w:t>
      </w:r>
      <w:r w:rsidR="005A62F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63848">
        <w:rPr>
          <w:rFonts w:ascii="Times New Roman" w:eastAsiaTheme="minorEastAsia" w:hAnsi="Times New Roman" w:cs="Times New Roman"/>
          <w:sz w:val="24"/>
          <w:szCs w:val="24"/>
        </w:rPr>
        <w:t xml:space="preserve"> Конкретные значения зависят от давления и температуры в атмосфере.</w:t>
      </w:r>
    </w:p>
    <w:p w14:paraId="15EAD987" w14:textId="2215DE1B" w:rsidR="00FB35C5" w:rsidRDefault="00FB35C5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BB02CA" wp14:editId="3BF6868E">
                <wp:simplePos x="0" y="0"/>
                <wp:positionH relativeFrom="margin">
                  <wp:align>center</wp:align>
                </wp:positionH>
                <wp:positionV relativeFrom="paragraph">
                  <wp:posOffset>2374900</wp:posOffset>
                </wp:positionV>
                <wp:extent cx="3676650" cy="635"/>
                <wp:effectExtent l="0" t="0" r="0" b="0"/>
                <wp:wrapTopAndBottom/>
                <wp:docPr id="72375580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1DB173" w14:textId="4DE0059A" w:rsidR="00AD7F07" w:rsidRPr="00AD7F07" w:rsidRDefault="00AD7F07" w:rsidP="00AD7F07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17E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. Зависимость удельного ослабления ТГц волн в атмосфере </w:t>
                            </w:r>
                            <w:r w:rsidR="000F3E9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- (а) </w:t>
                            </w:r>
                            <w:r w:rsidRPr="00AD7F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при различной влажности воздуха</w:t>
                            </w:r>
                            <w:r w:rsidR="00FB35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, (б) </w:t>
                            </w:r>
                            <w:r w:rsidR="000F3E9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при различной интенсивности осадков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BB02C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187pt;width:289.5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" stroked="f">
                <v:textbox style="mso-fit-shape-to-text:t" inset="0,0,0,0">
                  <w:txbxContent>
                    <w:p w14:paraId="151DB173" w14:textId="4DE0059A" w:rsidR="00AD7F07" w:rsidRPr="00AD7F07" w:rsidRDefault="00AD7F07" w:rsidP="00AD7F07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C017E4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1</w:t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. Зависимость удельного ослабления ТГц волн в атмосфере </w:t>
                      </w:r>
                      <w:r w:rsidR="000F3E9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- (а) </w:t>
                      </w:r>
                      <w:r w:rsidRPr="00AD7F07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>при различной влажности воздуха</w:t>
                      </w:r>
                      <w:r w:rsidR="00FB35C5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, (б) </w:t>
                      </w:r>
                      <w:r w:rsidR="000F3E9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>при различной интенсивности осадков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D7F07" w:rsidRPr="00AD7F07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277DA07" wp14:editId="1BE61E93">
            <wp:extent cx="3474720" cy="2322480"/>
            <wp:effectExtent l="0" t="0" r="0" b="1905"/>
            <wp:docPr id="39919851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851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426" cy="23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5C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0B3F1F9" wp14:editId="14900C3B">
            <wp:extent cx="2092301" cy="2293076"/>
            <wp:effectExtent l="0" t="0" r="3810" b="0"/>
            <wp:docPr id="1367962898" name="Рисунок 1" descr="Изображение выглядит как текст, зарисовка, диаграмм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62898" name="Рисунок 1" descr="Изображение выглядит как текст, зарисовка, диаграмм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936" cy="23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5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8101678" w14:textId="64DA7385" w:rsidR="00FB35C5" w:rsidRDefault="00FB35C5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07281BF8" w14:textId="7E24989D" w:rsidR="00667E67" w:rsidRDefault="00CC7B31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Также существенное ослабление вносит рассеяние волн на гидрометеорах (снег, дождь, град …).</w:t>
      </w:r>
      <w:r w:rsidR="00FB35C5">
        <w:rPr>
          <w:rFonts w:ascii="Times New Roman" w:eastAsiaTheme="minorEastAsia" w:hAnsi="Times New Roman" w:cs="Times New Roman"/>
          <w:sz w:val="24"/>
          <w:szCs w:val="24"/>
        </w:rPr>
        <w:t xml:space="preserve"> Особенно это ослабление проявляется, когда длина волны сравнима с характерными размерами капель дождя или снега.</w:t>
      </w:r>
      <w:r w:rsidR="000F3E98">
        <w:rPr>
          <w:rFonts w:ascii="Times New Roman" w:eastAsiaTheme="minorEastAsia" w:hAnsi="Times New Roman" w:cs="Times New Roman"/>
          <w:sz w:val="24"/>
          <w:szCs w:val="24"/>
        </w:rPr>
        <w:t xml:space="preserve"> Из рисунка 1(б) можно заметить, что наибольшим потерям из-за осадков подвержены волны в диапазоне 50–300 ГГц, далее с ростом частоты кривые </w:t>
      </w:r>
      <w:r w:rsidR="00FE06A4">
        <w:rPr>
          <w:rFonts w:ascii="Times New Roman" w:eastAsiaTheme="minorEastAsia" w:hAnsi="Times New Roman" w:cs="Times New Roman"/>
          <w:sz w:val="24"/>
          <w:szCs w:val="24"/>
        </w:rPr>
        <w:t>выходят на некое плато</w:t>
      </w:r>
      <w:r w:rsidR="000F3E9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B7B53D5" w14:textId="24CB6677" w:rsidR="000F3E98" w:rsidRPr="00AE4CBE" w:rsidRDefault="000F3E98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Затухание волн в атмосфере описывается законом Бэра-Ламбера по формуле</w:t>
      </w:r>
      <w:r w:rsidRPr="000F3E98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96441E8" w14:textId="3E7FB390" w:rsidR="000F3E98" w:rsidRPr="000F3E98" w:rsidRDefault="00000000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κ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</m:d>
            </m:e>
          </m:func>
        </m:oMath>
      </m:oMathPara>
    </w:p>
    <w:p w14:paraId="29B298EF" w14:textId="5077DD9D" w:rsidR="000F3E98" w:rsidRPr="00AE4CBE" w:rsidRDefault="000F3E98" w:rsidP="00A87F5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Построенная на графиках величина удельного ослабления</w:t>
      </w:r>
      <w:r w:rsidRPr="000F3E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дБ, по сути, и есть зависимость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κ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d>
      </m:oMath>
      <w:r w:rsidRPr="000F3E9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24CAE1D" w14:textId="2B8DBE94" w:rsidR="00A6580D" w:rsidRPr="00A6580D" w:rsidRDefault="00A6580D" w:rsidP="00A87F56">
      <w:pPr>
        <w:pStyle w:val="a7"/>
        <w:ind w:left="36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 в завершение, ослабление сигнала</w:t>
      </w:r>
      <w:r w:rsidR="00F63848">
        <w:rPr>
          <w:rFonts w:ascii="Times New Roman" w:eastAsiaTheme="minorEastAsia" w:hAnsi="Times New Roman" w:cs="Times New Roman"/>
          <w:sz w:val="24"/>
          <w:szCs w:val="24"/>
        </w:rPr>
        <w:t xml:space="preserve"> (по тому же закону Бэра-Ламбера)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также может быть вызвано прохождением волны через какой-либо материал (стекло, различные материалы стен, дерево). Такой тип ослабления часто называют «затенением». В </w:t>
      </w:r>
      <w:r w:rsidRPr="00A6580D">
        <w:rPr>
          <w:rFonts w:ascii="Times New Roman" w:eastAsiaTheme="minorEastAsia" w:hAnsi="Times New Roman" w:cs="Times New Roman"/>
          <w:sz w:val="24"/>
          <w:szCs w:val="24"/>
        </w:rPr>
        <w:t>[2]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приведены характерные значения ослабления ТГц излучения из-за затенения. Например, для 140 ГГц стекло толщиной 1.3 см ослабляет волну на 16.2 дБ, а гипсокартон толщиной 14.5 см на 15 дБ.</w:t>
      </w:r>
    </w:p>
    <w:p w14:paraId="180BC606" w14:textId="44070F94" w:rsidR="004141FE" w:rsidRDefault="004141FE" w:rsidP="004141FE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Рассеяние и многолучевое распространение</w:t>
      </w:r>
      <w:r w:rsidR="00D0264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744A43" w14:textId="197DAEC6" w:rsidR="00D02641" w:rsidRDefault="00AF4406" w:rsidP="00D02641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Еще один механизм, вызывающий ослабление волн при распространении – это рассеяние. </w:t>
      </w:r>
      <w:r w:rsidR="00D402F0">
        <w:rPr>
          <w:rFonts w:ascii="Times New Roman" w:eastAsiaTheme="minorEastAsia" w:hAnsi="Times New Roman" w:cs="Times New Roman"/>
          <w:sz w:val="24"/>
          <w:szCs w:val="24"/>
        </w:rPr>
        <w:t xml:space="preserve">Волны рассеиваются на объектах, которые сопоставимы по размерам с длиной волны. Таким образом, почти все поверхности (стены зданий, дороги, и т. д.) становятся </w:t>
      </w:r>
      <w:r w:rsidR="00A76CE4">
        <w:rPr>
          <w:rFonts w:ascii="Times New Roman" w:eastAsiaTheme="minorEastAsia" w:hAnsi="Times New Roman" w:cs="Times New Roman"/>
          <w:sz w:val="24"/>
          <w:szCs w:val="24"/>
        </w:rPr>
        <w:t xml:space="preserve">рассеивающими (не гладкими) для ТГц волн. В </w:t>
      </w:r>
      <w:r w:rsidR="00A76CE4" w:rsidRPr="00A76CE4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A76CE4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76CE4" w:rsidRPr="00A76CE4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A76CE4">
        <w:rPr>
          <w:rFonts w:ascii="Times New Roman" w:eastAsiaTheme="minorEastAsia" w:hAnsi="Times New Roman" w:cs="Times New Roman"/>
          <w:sz w:val="24"/>
          <w:szCs w:val="24"/>
        </w:rPr>
        <w:t xml:space="preserve"> приведен критерий гладкости поверхности</w:t>
      </w:r>
      <w:r w:rsidR="00A76CE4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4B2B1F3" w14:textId="44F32EA3" w:rsidR="00A76CE4" w:rsidRPr="00A76CE4" w:rsidRDefault="00000000" w:rsidP="00D02641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0AA7EC50" w14:textId="656CC615" w:rsidR="00A76CE4" w:rsidRPr="00AE4CBE" w:rsidRDefault="00A76CE4" w:rsidP="00D02641">
      <w:pPr>
        <w:pStyle w:val="a7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A76C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угол падения волны на поверхность,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</m:oMath>
      <w:r w:rsidRPr="00A76C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A76C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перепад расстояния до поверхности вдоль нормали. </w:t>
      </w:r>
      <w:r w:rsidR="00495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Также, в </w:t>
      </w:r>
      <w:r w:rsidR="0049581E" w:rsidRPr="00495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[2] </w:t>
      </w:r>
      <w:r w:rsidR="0049581E">
        <w:rPr>
          <w:rFonts w:ascii="Times New Roman" w:eastAsiaTheme="minorEastAsia" w:hAnsi="Times New Roman" w:cs="Times New Roman"/>
          <w:iCs/>
          <w:sz w:val="24"/>
          <w:szCs w:val="24"/>
        </w:rPr>
        <w:t>показано, что качественно зависимость мощности рассеянной волны</w:t>
      </w:r>
      <w:r w:rsidR="0049581E" w:rsidRPr="00495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</m:oMath>
      <w:r w:rsidR="00495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негладкой поверхности можно описать выражением</w:t>
      </w:r>
      <w:r w:rsidR="0049581E" w:rsidRPr="0049581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49581E" w:rsidRPr="0049581E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∝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α</m:t>
              </m:r>
            </m:sup>
          </m:sSup>
        </m:oMath>
      </m:oMathPara>
    </w:p>
    <w:p w14:paraId="639696C9" w14:textId="1CA02C4F" w:rsidR="001578E6" w:rsidRDefault="001578E6" w:rsidP="00D02641">
      <w:pPr>
        <w:pStyle w:val="a7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</m:oMath>
      <w:r w:rsidRPr="001578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угол рассеяния,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1578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1578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параметр, определяющий угловую ширину рассеяния.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br/>
        <w:t xml:space="preserve">Для волн, характерных системам связи 4-го и 5-го поколений большинство поверхностей типичных городских условий являются гладкими и все рассеяние сконцентрировано в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одном зеркально-отраженном луче, но для ТГц диапазона в системах связи 6-го поколения это не так, поэтому значительная часть мощности из зеркального луча уходит на множество рассеянных лучей (Рис. 2).</w:t>
      </w:r>
    </w:p>
    <w:p w14:paraId="52238767" w14:textId="77777777" w:rsidR="00C71E99" w:rsidRDefault="001578E6" w:rsidP="00C71E99">
      <w:pPr>
        <w:pStyle w:val="a7"/>
        <w:keepNext/>
        <w:ind w:left="360"/>
        <w:jc w:val="center"/>
      </w:pPr>
      <w:r w:rsidRPr="001578E6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6163B346" wp14:editId="36251C79">
            <wp:extent cx="1859280" cy="1611376"/>
            <wp:effectExtent l="0" t="0" r="7620" b="8255"/>
            <wp:docPr id="111100064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064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3454" cy="16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E99" w:rsidRPr="00C71E99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747F56B2" wp14:editId="741C871B">
            <wp:extent cx="2049780" cy="1620464"/>
            <wp:effectExtent l="0" t="0" r="7620" b="0"/>
            <wp:docPr id="243370343" name="Рисунок 1" descr="Изображение выглядит как текст, Шрифт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70343" name="Рисунок 1" descr="Изображение выглядит как текст, Шрифт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161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61" cy="1629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30DE6" w14:textId="417F5C4E" w:rsidR="00C71E99" w:rsidRPr="00C71E99" w:rsidRDefault="00C71E99" w:rsidP="00C71E99">
      <w:pPr>
        <w:pStyle w:val="ad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017E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C71E99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 Качественная картина рассеяния в диапазоне единиц ГГц и ТГц диапазоне</w:t>
      </w:r>
    </w:p>
    <w:p w14:paraId="27E81BA9" w14:textId="123983D1" w:rsidR="00C71E99" w:rsidRDefault="00C71E99" w:rsidP="00C71E99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Тогда можно сделать следующее заключение – для диапазона единиц ГГц (системы 4/5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>) существенно выделен эффект многолучевого распространения, который с одной стороны является проблемой, т. к. различные куски полезных сигналов могут накладываться друг на друга (затем на приемнике приходится компенсировать данные искажения), с другой стороны может быть полезным в случае, когда, например, нет прямой видимости между приемником и передатчиком, но из-за наличия многократно отраженной волны приемник все равно может детектирует нужный сигнал. Для ТГц диапазона эффект многолучевого распространения выражен слабее</w:t>
      </w:r>
      <w:r w:rsidR="00751BAC">
        <w:rPr>
          <w:rFonts w:ascii="Times New Roman" w:eastAsiaTheme="minorEastAsia" w:hAnsi="Times New Roman" w:cs="Times New Roman"/>
          <w:sz w:val="24"/>
          <w:szCs w:val="24"/>
        </w:rPr>
        <w:t>, поэтому связь в случаях отсутствия прямой видимости будет более ограничена, но из-за того, что луч прямой видимости будет иметь существенно большую мощность, чем отраженные лучи – это может упростить алгоритмы компенсации искажений от канала распространения в приемном устройстве.</w:t>
      </w:r>
    </w:p>
    <w:p w14:paraId="0C4859F8" w14:textId="0A36DC21" w:rsidR="002528B2" w:rsidRPr="00B62BD0" w:rsidRDefault="004141FE" w:rsidP="00B62BD0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62BD0">
        <w:rPr>
          <w:rFonts w:ascii="Times New Roman" w:eastAsiaTheme="minorEastAsia" w:hAnsi="Times New Roman" w:cs="Times New Roman"/>
          <w:sz w:val="24"/>
          <w:szCs w:val="24"/>
        </w:rPr>
        <w:t>Эффект Доплера</w:t>
      </w:r>
      <w:r w:rsidR="00D02641" w:rsidRPr="00B62BD0">
        <w:rPr>
          <w:rFonts w:ascii="Times New Roman" w:eastAsiaTheme="minorEastAsia" w:hAnsi="Times New Roman" w:cs="Times New Roman"/>
          <w:sz w:val="24"/>
          <w:szCs w:val="24"/>
        </w:rPr>
        <w:br/>
        <w:t xml:space="preserve">Еще один физический эффект, который является весомой проблемой для разработки приемника – это эффект Доплера. Он возникает при движении передатчика </w:t>
      </w:r>
      <w:r w:rsidR="0095400B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и приемника друг относительно друга. Из-за движения принимаемая (или передаваемая) волна меняет свою частоту (получает Доплеровское смещение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  <w:r w:rsidR="0095400B" w:rsidRPr="00B62BD0">
        <w:rPr>
          <w:rFonts w:ascii="Times New Roman" w:eastAsiaTheme="minorEastAsia" w:hAnsi="Times New Roman" w:cs="Times New Roman"/>
          <w:sz w:val="24"/>
          <w:szCs w:val="24"/>
        </w:rPr>
        <w:t>), которое зависит от несущей частоты, принимаемой (или передаваемой волны) по формуле:</w:t>
      </w:r>
      <w:r w:rsidR="0095400B" w:rsidRPr="00B62BD0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</m:oMathPara>
      <w:r w:rsidR="00192650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192650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 – несущая частота,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192650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 – скорость движения,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192650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 – скорость света,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192650" w:rsidRPr="00B62BD0">
        <w:rPr>
          <w:rFonts w:ascii="Times New Roman" w:eastAsiaTheme="minorEastAsia" w:hAnsi="Times New Roman" w:cs="Times New Roman"/>
          <w:sz w:val="24"/>
          <w:szCs w:val="24"/>
        </w:rPr>
        <w:t xml:space="preserve"> – эффективный угол между </w:t>
      </w:r>
      <w:r w:rsidR="0029484E" w:rsidRPr="00B62BD0">
        <w:rPr>
          <w:rFonts w:ascii="Times New Roman" w:eastAsiaTheme="minorEastAsia" w:hAnsi="Times New Roman" w:cs="Times New Roman"/>
          <w:sz w:val="24"/>
          <w:szCs w:val="24"/>
        </w:rPr>
        <w:t>траекторией распространения волны от передатчика к приемнику и вектором скорости.</w:t>
      </w:r>
      <w:r w:rsidR="00B62BD0" w:rsidRPr="0049581E">
        <w:rPr>
          <w:rFonts w:ascii="Times New Roman" w:eastAsiaTheme="minorEastAsia" w:hAnsi="Times New Roman" w:cs="Times New Roman"/>
          <w:sz w:val="24"/>
          <w:szCs w:val="24"/>
        </w:rPr>
        <w:br/>
      </w:r>
      <w:r w:rsidR="00B62BD0" w:rsidRPr="00B62BD0">
        <w:rPr>
          <w:rFonts w:ascii="Times New Roman" w:eastAsiaTheme="minorEastAsia" w:hAnsi="Times New Roman" w:cs="Times New Roman"/>
          <w:sz w:val="24"/>
          <w:szCs w:val="24"/>
        </w:rPr>
        <w:t>Для систем беспроводной связи, работающих в городских условиях, движение абонентов относительно базовых станций – это довольно распространенный сценарий. Если взять скорость пешехода примерно равной 5 км/ч, то значение Доплеровского смещения может достигать порядка 462 Гц для несущей частоты равной 0.1 ТГц. Для сравнения, на несущей частоте 2.4 ГГц (как в сетях 4-го поколения) Допплеровское смещение будет равно примерно 11 Гц.</w:t>
      </w:r>
      <w:r w:rsidR="00B62BD0" w:rsidRPr="00B62BD0">
        <w:rPr>
          <w:rFonts w:ascii="Times New Roman" w:eastAsiaTheme="minorEastAsia" w:hAnsi="Times New Roman" w:cs="Times New Roman"/>
          <w:sz w:val="24"/>
          <w:szCs w:val="24"/>
        </w:rPr>
        <w:br/>
        <w:t>Такие</w:t>
      </w:r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 значения накладывают ограничения на расстояние между частотно разделяемыми ресурсами. Например, в системах 4-го поколения часто используется множественный доступ</w:t>
      </w:r>
      <w:r w:rsidR="00840D84">
        <w:rPr>
          <w:rFonts w:ascii="Times New Roman" w:eastAsiaTheme="minorEastAsia" w:hAnsi="Times New Roman" w:cs="Times New Roman"/>
          <w:sz w:val="24"/>
          <w:szCs w:val="24"/>
        </w:rPr>
        <w:t xml:space="preserve"> с ортогональным частотным разделением</w:t>
      </w:r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 для абонентов (</w:t>
      </w:r>
      <w:r w:rsidR="00B62BD0">
        <w:rPr>
          <w:rFonts w:ascii="Times New Roman" w:eastAsiaTheme="minorEastAsia" w:hAnsi="Times New Roman" w:cs="Times New Roman"/>
          <w:sz w:val="24"/>
          <w:szCs w:val="24"/>
          <w:lang w:val="en-US"/>
        </w:rPr>
        <w:t>OFDMA</w:t>
      </w:r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). Расстояние между частотными </w:t>
      </w:r>
      <w:proofErr w:type="spellStart"/>
      <w:r w:rsidR="00B62BD0">
        <w:rPr>
          <w:rFonts w:ascii="Times New Roman" w:eastAsiaTheme="minorEastAsia" w:hAnsi="Times New Roman" w:cs="Times New Roman"/>
          <w:sz w:val="24"/>
          <w:szCs w:val="24"/>
        </w:rPr>
        <w:t>поднесущими</w:t>
      </w:r>
      <w:proofErr w:type="spellEnd"/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 разных абонентов равно 15 кГц. Соответственно, если использовать ту же технологию на более высоких несущих частотах, возникнет необходимость делать </w:t>
      </w:r>
      <w:r w:rsidR="00C14040">
        <w:rPr>
          <w:rFonts w:ascii="Times New Roman" w:eastAsiaTheme="minorEastAsia" w:hAnsi="Times New Roman" w:cs="Times New Roman"/>
          <w:sz w:val="24"/>
          <w:szCs w:val="24"/>
        </w:rPr>
        <w:t>расстояние</w:t>
      </w:r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 между </w:t>
      </w:r>
      <w:proofErr w:type="spellStart"/>
      <w:r w:rsidR="00B62BD0">
        <w:rPr>
          <w:rFonts w:ascii="Times New Roman" w:eastAsiaTheme="minorEastAsia" w:hAnsi="Times New Roman" w:cs="Times New Roman"/>
          <w:sz w:val="24"/>
          <w:szCs w:val="24"/>
        </w:rPr>
        <w:t>поднесущими</w:t>
      </w:r>
      <w:proofErr w:type="spellEnd"/>
      <w:r w:rsidR="00B62BD0">
        <w:rPr>
          <w:rFonts w:ascii="Times New Roman" w:eastAsiaTheme="minorEastAsia" w:hAnsi="Times New Roman" w:cs="Times New Roman"/>
          <w:sz w:val="24"/>
          <w:szCs w:val="24"/>
        </w:rPr>
        <w:t xml:space="preserve"> больше, чтоб за счет эффекта Доплера </w:t>
      </w:r>
      <w:r w:rsidR="00C14040">
        <w:rPr>
          <w:rFonts w:ascii="Times New Roman" w:eastAsiaTheme="minorEastAsia" w:hAnsi="Times New Roman" w:cs="Times New Roman"/>
          <w:sz w:val="24"/>
          <w:szCs w:val="24"/>
        </w:rPr>
        <w:t>не происходила их интерференция</w:t>
      </w:r>
      <w:r w:rsidR="002D1F5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358DEA" w14:textId="3ED5CED4" w:rsidR="00C10CD2" w:rsidRPr="00D572AD" w:rsidRDefault="00AE4CBE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572AD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Технологии построения </w:t>
      </w:r>
      <w:r w:rsidR="00FD0EBF" w:rsidRPr="00D572A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устройств </w:t>
      </w:r>
      <w:r w:rsidRPr="00D572A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приемника и передатчика в </w:t>
      </w:r>
      <w:r w:rsidR="00FD0EBF" w:rsidRPr="00D572AD">
        <w:rPr>
          <w:rFonts w:ascii="Times New Roman" w:eastAsiaTheme="minorEastAsia" w:hAnsi="Times New Roman" w:cs="Times New Roman"/>
          <w:b/>
          <w:bCs/>
          <w:sz w:val="24"/>
          <w:szCs w:val="24"/>
        </w:rPr>
        <w:t>ТГц диапазоне</w:t>
      </w:r>
    </w:p>
    <w:p w14:paraId="7BE72A71" w14:textId="2DBB8E7F" w:rsidR="00FD0EBF" w:rsidRDefault="00D572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Ранее</w:t>
      </w:r>
      <w:r w:rsidR="00FD0EBF" w:rsidRPr="00FD0EBF">
        <w:rPr>
          <w:rFonts w:ascii="Times New Roman" w:eastAsiaTheme="minorEastAsia" w:hAnsi="Times New Roman" w:cs="Times New Roman"/>
          <w:sz w:val="24"/>
          <w:szCs w:val="24"/>
        </w:rPr>
        <w:t xml:space="preserve"> практическое использование ТГц-диапазона в системах связи сдерживалось отсутствием компактных энергоэффективных передатчиков и приёмников с низким уровнем шума и высокой чувствительностью. </w:t>
      </w:r>
      <w:r>
        <w:rPr>
          <w:rFonts w:ascii="Times New Roman" w:eastAsiaTheme="minorEastAsia" w:hAnsi="Times New Roman" w:cs="Times New Roman"/>
          <w:sz w:val="24"/>
          <w:szCs w:val="24"/>
        </w:rPr>
        <w:t>За последнее десятилетие</w:t>
      </w:r>
      <w:r w:rsidR="00FD0EBF" w:rsidRPr="00FD0EBF">
        <w:rPr>
          <w:rFonts w:ascii="Times New Roman" w:eastAsiaTheme="minorEastAsia" w:hAnsi="Times New Roman" w:cs="Times New Roman"/>
          <w:sz w:val="24"/>
          <w:szCs w:val="24"/>
        </w:rPr>
        <w:t>, так называемый «технологический разрыв» в области ТГц значительно сократился благодаря прогрессу в полупроводниковых технологиях и разработке новых материалов.</w:t>
      </w:r>
    </w:p>
    <w:p w14:paraId="5E429A79" w14:textId="11DC6682" w:rsidR="00D572AD" w:rsidRPr="00D572AD" w:rsidRDefault="00FD0EBF">
      <w:pPr>
        <w:rPr>
          <w:rFonts w:ascii="Times New Roman" w:eastAsiaTheme="minorEastAsia" w:hAnsi="Times New Roman" w:cs="Times New Roman"/>
          <w:sz w:val="24"/>
          <w:szCs w:val="24"/>
        </w:rPr>
      </w:pPr>
      <w:r w:rsidRPr="00FD0EBF">
        <w:rPr>
          <w:rFonts w:ascii="Times New Roman" w:eastAsiaTheme="minorEastAsia" w:hAnsi="Times New Roman" w:cs="Times New Roman"/>
          <w:sz w:val="24"/>
          <w:szCs w:val="24"/>
        </w:rPr>
        <w:t xml:space="preserve">В этой секции 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представлено описание</w:t>
      </w:r>
      <w:r w:rsidRPr="00FD0EBF">
        <w:rPr>
          <w:rFonts w:ascii="Times New Roman" w:eastAsiaTheme="minorEastAsia" w:hAnsi="Times New Roman" w:cs="Times New Roman"/>
          <w:sz w:val="24"/>
          <w:szCs w:val="24"/>
        </w:rPr>
        <w:t xml:space="preserve"> ключевы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х</w:t>
      </w:r>
      <w:r w:rsidRPr="00FD0EBF">
        <w:rPr>
          <w:rFonts w:ascii="Times New Roman" w:eastAsiaTheme="minorEastAsia" w:hAnsi="Times New Roman" w:cs="Times New Roman"/>
          <w:sz w:val="24"/>
          <w:szCs w:val="24"/>
        </w:rPr>
        <w:t xml:space="preserve"> аппаратны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х</w:t>
      </w:r>
      <w:r w:rsidRPr="00FD0EBF">
        <w:rPr>
          <w:rFonts w:ascii="Times New Roman" w:eastAsiaTheme="minorEastAsia" w:hAnsi="Times New Roman" w:cs="Times New Roman"/>
          <w:sz w:val="24"/>
          <w:szCs w:val="24"/>
        </w:rPr>
        <w:t xml:space="preserve"> блок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ов</w:t>
      </w:r>
      <w:r w:rsidRPr="00FD0EBF">
        <w:rPr>
          <w:rFonts w:ascii="Times New Roman" w:eastAsiaTheme="minorEastAsia" w:hAnsi="Times New Roman" w:cs="Times New Roman"/>
          <w:sz w:val="24"/>
          <w:szCs w:val="24"/>
        </w:rPr>
        <w:t xml:space="preserve"> беспроводной системы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 xml:space="preserve"> связи в ТГц диапазоне</w:t>
      </w:r>
      <w:r w:rsidR="00EC2919" w:rsidRPr="00EC2919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EC2919" w:rsidRPr="00C15F63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EC2919" w:rsidRPr="00EC2919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. Основные аппаратные блоки включают в себя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E55D048" w14:textId="47DA038D" w:rsidR="00D572AD" w:rsidRDefault="00FD0EBF" w:rsidP="00D572AD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72AD">
        <w:rPr>
          <w:rFonts w:ascii="Times New Roman" w:eastAsiaTheme="minorEastAsia" w:hAnsi="Times New Roman" w:cs="Times New Roman"/>
          <w:sz w:val="24"/>
          <w:szCs w:val="24"/>
        </w:rPr>
        <w:t>аналоговы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е</w:t>
      </w:r>
      <w:r w:rsidRPr="00D572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«</w:t>
      </w:r>
      <w:r w:rsidRPr="00D572AD">
        <w:rPr>
          <w:rFonts w:ascii="Times New Roman" w:eastAsiaTheme="minorEastAsia" w:hAnsi="Times New Roman" w:cs="Times New Roman"/>
          <w:sz w:val="24"/>
          <w:szCs w:val="24"/>
        </w:rPr>
        <w:t>фронт-энды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»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br/>
        <w:t>Н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а передающей стороне отвечает за генерацию ТГц-несущей или импульсного сигнала, модуляцию сигнала в соответствии с передаваем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ым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 xml:space="preserve"> информаци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онным сигналом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 xml:space="preserve">, усиление мощности и фильтрацию внеполосных составляющих 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перед отправкой сигнала на антенну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. На принимающей стороне фронт-энд выполняет детектирование ТГц-сигнала, фильтрацию внеполосного шума, усиление полезного сигнала и извлечение передаваемо</w:t>
      </w:r>
      <w:r w:rsidR="00D572AD">
        <w:rPr>
          <w:rFonts w:ascii="Times New Roman" w:eastAsiaTheme="minorEastAsia" w:hAnsi="Times New Roman" w:cs="Times New Roman"/>
          <w:sz w:val="24"/>
          <w:szCs w:val="24"/>
        </w:rPr>
        <w:t>го информационного сигнала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376418" w14:textId="38DDBFD0" w:rsidR="00D572AD" w:rsidRDefault="00FD0EBF" w:rsidP="00D572AD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72AD">
        <w:rPr>
          <w:rFonts w:ascii="Times New Roman" w:eastAsiaTheme="minorEastAsia" w:hAnsi="Times New Roman" w:cs="Times New Roman"/>
          <w:sz w:val="24"/>
          <w:szCs w:val="24"/>
        </w:rPr>
        <w:t>антенные системы</w:t>
      </w:r>
      <w:r w:rsidR="00EC291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C2919">
        <w:rPr>
          <w:rFonts w:ascii="Times New Roman" w:eastAsiaTheme="minorEastAsia" w:hAnsi="Times New Roman" w:cs="Times New Roman"/>
          <w:sz w:val="24"/>
          <w:szCs w:val="24"/>
        </w:rPr>
        <w:br/>
        <w:t>Отвечают за передачу ТГц излучения в свободное пространство и прием этого излучения. В ТГц диапазоне существует огромное количество вариантов реализации антенной системы с использованием антенных решеток, линз, отражателей.</w:t>
      </w:r>
    </w:p>
    <w:p w14:paraId="062E4372" w14:textId="48E06CFC" w:rsidR="00DB13DE" w:rsidRPr="00DB13DE" w:rsidRDefault="00FD0EBF" w:rsidP="00DB13DE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72AD">
        <w:rPr>
          <w:rFonts w:ascii="Times New Roman" w:eastAsiaTheme="minorEastAsia" w:hAnsi="Times New Roman" w:cs="Times New Roman"/>
          <w:sz w:val="24"/>
          <w:szCs w:val="24"/>
        </w:rPr>
        <w:t xml:space="preserve">цифровые 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«</w:t>
      </w:r>
      <w:r w:rsidRPr="00D572AD">
        <w:rPr>
          <w:rFonts w:ascii="Times New Roman" w:eastAsiaTheme="minorEastAsia" w:hAnsi="Times New Roman" w:cs="Times New Roman"/>
          <w:sz w:val="24"/>
          <w:szCs w:val="24"/>
        </w:rPr>
        <w:t>б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э</w:t>
      </w:r>
      <w:r w:rsidRPr="00D572AD">
        <w:rPr>
          <w:rFonts w:ascii="Times New Roman" w:eastAsiaTheme="minorEastAsia" w:hAnsi="Times New Roman" w:cs="Times New Roman"/>
          <w:sz w:val="24"/>
          <w:szCs w:val="24"/>
        </w:rPr>
        <w:t>к-энды</w:t>
      </w:r>
      <w:r w:rsidR="00D572AD" w:rsidRPr="00D572AD">
        <w:rPr>
          <w:rFonts w:ascii="Times New Roman" w:eastAsiaTheme="minorEastAsia" w:hAnsi="Times New Roman" w:cs="Times New Roman"/>
          <w:sz w:val="24"/>
          <w:szCs w:val="24"/>
        </w:rPr>
        <w:t>»</w:t>
      </w:r>
      <w:r w:rsidRPr="00D572A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C2919">
        <w:rPr>
          <w:rFonts w:ascii="Times New Roman" w:eastAsiaTheme="minorEastAsia" w:hAnsi="Times New Roman" w:cs="Times New Roman"/>
          <w:sz w:val="24"/>
          <w:szCs w:val="24"/>
        </w:rPr>
        <w:br/>
        <w:t xml:space="preserve">Отвечает за контроль </w:t>
      </w:r>
      <w:r w:rsidR="00C15F63">
        <w:rPr>
          <w:rFonts w:ascii="Times New Roman" w:eastAsiaTheme="minorEastAsia" w:hAnsi="Times New Roman" w:cs="Times New Roman"/>
          <w:sz w:val="24"/>
          <w:szCs w:val="24"/>
        </w:rPr>
        <w:t>работы аналогового фронт-энда (например, контроль коэффициента усиления усилителя в рамках системы АРУ), а также является интерфейсом между цифровыми вычислительными блоками и аналоговым фронт-эндом. Основные элементы данного блока – АЦП и ЦАП.</w:t>
      </w:r>
    </w:p>
    <w:p w14:paraId="11F857D3" w14:textId="77777777" w:rsidR="00DB13DE" w:rsidRDefault="00DB13DE" w:rsidP="00DB13DE">
      <w:pPr>
        <w:keepNext/>
        <w:ind w:left="360"/>
        <w:jc w:val="center"/>
      </w:pPr>
      <w:r w:rsidRPr="0061711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DB9A3B3" wp14:editId="2EB2FC53">
            <wp:extent cx="5692140" cy="2190523"/>
            <wp:effectExtent l="0" t="0" r="3810" b="635"/>
            <wp:docPr id="10473125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125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26" cy="22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7A23" w14:textId="7FDF963A" w:rsidR="00DB13DE" w:rsidRPr="00DB13DE" w:rsidRDefault="00DB13DE" w:rsidP="00DB13DE">
      <w:pPr>
        <w:pStyle w:val="ad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017E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3</w:t>
      </w: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17112">
        <w:rPr>
          <w:rFonts w:ascii="Times New Roman" w:hAnsi="Times New Roman" w:cs="Times New Roman"/>
          <w:i w:val="0"/>
          <w:iCs w:val="0"/>
          <w:sz w:val="20"/>
          <w:szCs w:val="20"/>
        </w:rPr>
        <w:t>. Концепции построения аналогового фронт-энда для приемо-передатчиков в ТГц диапазоне</w:t>
      </w:r>
    </w:p>
    <w:p w14:paraId="32834E91" w14:textId="4757D55E" w:rsidR="00FD0EBF" w:rsidRDefault="00C15F63" w:rsidP="00FD0EBF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Подходы к построению аналогового фронт-энда</w:t>
      </w:r>
      <w:r w:rsidR="00EC01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C012F" w:rsidRPr="00BA7723">
        <w:rPr>
          <w:rFonts w:ascii="Times New Roman" w:eastAsiaTheme="minorEastAsia" w:hAnsi="Times New Roman" w:cs="Times New Roman"/>
          <w:sz w:val="24"/>
          <w:szCs w:val="24"/>
        </w:rPr>
        <w:t>[1]</w:t>
      </w:r>
      <w:r w:rsidR="003E7197">
        <w:rPr>
          <w:rFonts w:ascii="Times New Roman" w:eastAsiaTheme="minorEastAsia" w:hAnsi="Times New Roman" w:cs="Times New Roman"/>
          <w:sz w:val="24"/>
          <w:szCs w:val="24"/>
        </w:rPr>
        <w:t xml:space="preserve"> (Рис. 3)</w:t>
      </w:r>
      <w:r w:rsidR="00FD0EBF" w:rsidRPr="00FD0EB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78CC8C2" w14:textId="77C0DC31" w:rsidR="00840D84" w:rsidRPr="00484980" w:rsidRDefault="004B2525" w:rsidP="00840D84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4B2525">
        <w:rPr>
          <w:rFonts w:ascii="Times New Roman" w:eastAsiaTheme="minorEastAsia" w:hAnsi="Times New Roman" w:cs="Times New Roman"/>
          <w:sz w:val="24"/>
          <w:szCs w:val="24"/>
        </w:rPr>
        <w:t xml:space="preserve">Существует несколько путей реализации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устройств </w:t>
      </w:r>
      <w:r w:rsidRPr="004B2525">
        <w:rPr>
          <w:rFonts w:ascii="Times New Roman" w:eastAsiaTheme="minorEastAsia" w:hAnsi="Times New Roman" w:cs="Times New Roman"/>
          <w:sz w:val="24"/>
          <w:szCs w:val="24"/>
        </w:rPr>
        <w:t>генерации и усиления ТГц-сигналов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(устройства в составе аналогового фронт-энда)</w:t>
      </w:r>
      <w:r w:rsidRPr="004B2525">
        <w:rPr>
          <w:rFonts w:ascii="Times New Roman" w:eastAsiaTheme="minorEastAsia" w:hAnsi="Times New Roman" w:cs="Times New Roman"/>
          <w:sz w:val="24"/>
          <w:szCs w:val="24"/>
        </w:rPr>
        <w:t>, каждый из которых имеет свои преимущества и ограничения:</w:t>
      </w:r>
    </w:p>
    <w:p w14:paraId="60A2441F" w14:textId="031F5292" w:rsidR="00DB13DE" w:rsidRDefault="003E7197" w:rsidP="00DB13DE">
      <w:pPr>
        <w:pStyle w:val="a7"/>
        <w:keepNext/>
        <w:numPr>
          <w:ilvl w:val="0"/>
          <w:numId w:val="5"/>
        </w:numPr>
      </w:pPr>
      <w:r>
        <w:rPr>
          <w:rFonts w:ascii="Times New Roman" w:eastAsiaTheme="minorEastAsia" w:hAnsi="Times New Roman" w:cs="Times New Roman"/>
          <w:sz w:val="24"/>
          <w:szCs w:val="24"/>
        </w:rPr>
        <w:t>Электронный подход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>н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аиболее распространённая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техника для получения ТГц-несущей — использование цепочек частотных умножителей</w:t>
      </w:r>
      <w:r>
        <w:rPr>
          <w:rFonts w:ascii="Times New Roman" w:eastAsiaTheme="minorEastAsia" w:hAnsi="Times New Roman" w:cs="Times New Roman"/>
          <w:sz w:val="24"/>
          <w:szCs w:val="24"/>
        </w:rPr>
        <w:t>. О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порный сигнал генерируется в микроволновой</w:t>
      </w:r>
      <w:r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миллиметровой области, затем последовательно умножается</w:t>
      </w:r>
      <w:r w:rsidR="00F27568" w:rsidRPr="00F2756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>удвоителями/</w:t>
      </w:r>
      <w:proofErr w:type="spellStart"/>
      <w:r w:rsidR="00F27568">
        <w:rPr>
          <w:rFonts w:ascii="Times New Roman" w:eastAsiaTheme="minorEastAsia" w:hAnsi="Times New Roman" w:cs="Times New Roman"/>
          <w:sz w:val="24"/>
          <w:szCs w:val="24"/>
        </w:rPr>
        <w:t>утроителями</w:t>
      </w:r>
      <w:proofErr w:type="spellEnd"/>
      <w:r w:rsidR="00F27568">
        <w:rPr>
          <w:rFonts w:ascii="Times New Roman" w:eastAsiaTheme="minorEastAsia" w:hAnsi="Times New Roman" w:cs="Times New Roman"/>
          <w:sz w:val="24"/>
          <w:szCs w:val="24"/>
        </w:rPr>
        <w:t xml:space="preserve"> частоты</w:t>
      </w:r>
      <w:r w:rsidR="00F27568" w:rsidRPr="00F27568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 xml:space="preserve"> до требуемой частоты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>И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>далее</w:t>
      </w:r>
      <w:r w:rsidR="007F1D22">
        <w:rPr>
          <w:rFonts w:ascii="Times New Roman" w:eastAsiaTheme="minorEastAsia" w:hAnsi="Times New Roman" w:cs="Times New Roman"/>
          <w:sz w:val="24"/>
          <w:szCs w:val="24"/>
        </w:rPr>
        <w:t xml:space="preserve"> происходит перенос низкочастотного информационного сигнала на ТГц несущую в смесителе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1D22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 xml:space="preserve">используется 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lastRenderedPageBreak/>
        <w:t>гетеродинная архитектура передатчика</w:t>
      </w:r>
      <w:r w:rsidR="007F1D22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27568">
        <w:rPr>
          <w:rFonts w:ascii="Times New Roman" w:eastAsiaTheme="minorEastAsia" w:hAnsi="Times New Roman" w:cs="Times New Roman"/>
          <w:sz w:val="24"/>
          <w:szCs w:val="24"/>
        </w:rPr>
        <w:t xml:space="preserve"> На приемнике используется аналогичный способ формирования несущего колебания для переноса частоты.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 xml:space="preserve"> Цепочки умножения и смешения сильно нелинейны, что приводит к искажениям формы волны, высокой чувствительности к отношению пикового и среднего уровней мощности </w:t>
      </w:r>
      <w:r w:rsidR="007F1D22">
        <w:rPr>
          <w:rFonts w:ascii="Times New Roman" w:eastAsiaTheme="minorEastAsia" w:hAnsi="Times New Roman" w:cs="Times New Roman"/>
          <w:sz w:val="24"/>
          <w:szCs w:val="24"/>
        </w:rPr>
        <w:t xml:space="preserve">(пик-фактор) </w:t>
      </w:r>
      <w:r w:rsidRPr="003E7197">
        <w:rPr>
          <w:rFonts w:ascii="Times New Roman" w:eastAsiaTheme="minorEastAsia" w:hAnsi="Times New Roman" w:cs="Times New Roman"/>
          <w:sz w:val="24"/>
          <w:szCs w:val="24"/>
        </w:rPr>
        <w:t>и значительному росту фазового шума.</w:t>
      </w:r>
      <w:r w:rsidR="00DB13DE">
        <w:rPr>
          <w:rFonts w:ascii="Times New Roman" w:eastAsiaTheme="minorEastAsia" w:hAnsi="Times New Roman" w:cs="Times New Roman"/>
          <w:sz w:val="24"/>
          <w:szCs w:val="24"/>
        </w:rPr>
        <w:br/>
        <w:t xml:space="preserve">Серьезные требования предъявляются к усилителям (для передатчика – требование по максимальной выходной мощности и уровню нелинейных искажений, а для 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>приемного по</w:t>
      </w:r>
      <w:r w:rsidR="00DB13DE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коэффициенту шума). </w:t>
      </w:r>
      <w:r w:rsidR="008466EC">
        <w:rPr>
          <w:rFonts w:ascii="Times New Roman" w:eastAsiaTheme="minorEastAsia" w:hAnsi="Times New Roman" w:cs="Times New Roman"/>
          <w:sz w:val="24"/>
          <w:szCs w:val="24"/>
        </w:rPr>
        <w:t xml:space="preserve">Существуют работы </w:t>
      </w:r>
      <w:r w:rsidR="008466EC" w:rsidRPr="00DB13DE">
        <w:rPr>
          <w:rFonts w:ascii="Times New Roman" w:eastAsiaTheme="minorEastAsia" w:hAnsi="Times New Roman" w:cs="Times New Roman"/>
          <w:sz w:val="24"/>
          <w:szCs w:val="24"/>
        </w:rPr>
        <w:t xml:space="preserve">[3], </w:t>
      </w:r>
      <w:r w:rsidR="008466EC">
        <w:rPr>
          <w:rFonts w:ascii="Times New Roman" w:eastAsiaTheme="minorEastAsia" w:hAnsi="Times New Roman" w:cs="Times New Roman"/>
          <w:sz w:val="24"/>
          <w:szCs w:val="24"/>
        </w:rPr>
        <w:t>дем</w:t>
      </w:r>
      <w:r w:rsidR="00DB13DE">
        <w:rPr>
          <w:rFonts w:ascii="Times New Roman" w:eastAsiaTheme="minorEastAsia" w:hAnsi="Times New Roman" w:cs="Times New Roman"/>
          <w:sz w:val="24"/>
          <w:szCs w:val="24"/>
        </w:rPr>
        <w:t>онстрирующие зависимость данных характеристик от частоты в ТГц диапазоне, используемом в системах 6</w:t>
      </w:r>
      <w:r w:rsidR="00DB13DE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="00DB13D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B13DE" w:rsidRPr="00462B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2B33">
        <w:rPr>
          <w:rFonts w:ascii="Times New Roman" w:eastAsiaTheme="minorEastAsia" w:hAnsi="Times New Roman" w:cs="Times New Roman"/>
          <w:sz w:val="24"/>
          <w:szCs w:val="24"/>
        </w:rPr>
        <w:t xml:space="preserve">Из графиков, приведенных на Рис. 4(а) можно заключить, что в усилителях на передатчике многие полупроводниковые технологии позволят покрыть диапазон до </w:t>
      </w:r>
      <w:r w:rsidR="00462B33" w:rsidRPr="00462B33">
        <w:rPr>
          <w:rFonts w:ascii="Times New Roman" w:eastAsiaTheme="minorEastAsia" w:hAnsi="Times New Roman" w:cs="Times New Roman"/>
          <w:sz w:val="24"/>
          <w:szCs w:val="24"/>
        </w:rPr>
        <w:t xml:space="preserve">~200 </w:t>
      </w:r>
      <w:r w:rsidR="00462B33">
        <w:rPr>
          <w:rFonts w:ascii="Times New Roman" w:eastAsiaTheme="minorEastAsia" w:hAnsi="Times New Roman" w:cs="Times New Roman"/>
          <w:sz w:val="24"/>
          <w:szCs w:val="24"/>
        </w:rPr>
        <w:t xml:space="preserve">ГГц без значительного снижения пиковой мощности. Наиболее устойчивыми кандидатами являются – </w:t>
      </w:r>
      <w:r w:rsidR="00462B33">
        <w:rPr>
          <w:rFonts w:ascii="Times New Roman" w:eastAsiaTheme="minorEastAsia" w:hAnsi="Times New Roman" w:cs="Times New Roman"/>
          <w:sz w:val="24"/>
          <w:szCs w:val="24"/>
          <w:lang w:val="en-US"/>
        </w:rPr>
        <w:t>GaAs</w:t>
      </w:r>
      <w:r w:rsidR="00462B33" w:rsidRPr="00462B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2B33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462B33">
        <w:rPr>
          <w:rFonts w:ascii="Times New Roman" w:eastAsiaTheme="minorEastAsia" w:hAnsi="Times New Roman" w:cs="Times New Roman"/>
          <w:sz w:val="24"/>
          <w:szCs w:val="24"/>
          <w:lang w:val="en-US"/>
        </w:rPr>
        <w:t>InP</w:t>
      </w:r>
      <w:r w:rsidR="00462B33">
        <w:rPr>
          <w:rFonts w:ascii="Times New Roman" w:eastAsiaTheme="minorEastAsia" w:hAnsi="Times New Roman" w:cs="Times New Roman"/>
          <w:sz w:val="24"/>
          <w:szCs w:val="24"/>
        </w:rPr>
        <w:t xml:space="preserve">. Для приемных малошумящих усилителей (МШУ), из Рис. 4(б) можно увидеть, что для многих полупроводников коэффициент шума начинает расти быстрее линейной зависимости при переходе в ТГц диапазон. Для </w:t>
      </w:r>
      <w:r w:rsidR="00462B33">
        <w:rPr>
          <w:rFonts w:ascii="Times New Roman" w:eastAsiaTheme="minorEastAsia" w:hAnsi="Times New Roman" w:cs="Times New Roman"/>
          <w:sz w:val="24"/>
          <w:szCs w:val="24"/>
          <w:lang w:val="en-US"/>
        </w:rPr>
        <w:t>GaAs</w:t>
      </w:r>
      <w:r w:rsidR="00462B33" w:rsidRPr="00462B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2B33">
        <w:rPr>
          <w:rFonts w:ascii="Times New Roman" w:eastAsiaTheme="minorEastAsia" w:hAnsi="Times New Roman" w:cs="Times New Roman"/>
          <w:sz w:val="24"/>
          <w:szCs w:val="24"/>
        </w:rPr>
        <w:t xml:space="preserve">линия тренда коэффициент шума идет ниже остальных полупроводников, что делает его </w:t>
      </w:r>
      <w:r w:rsidR="00E673D5">
        <w:rPr>
          <w:rFonts w:ascii="Times New Roman" w:eastAsiaTheme="minorEastAsia" w:hAnsi="Times New Roman" w:cs="Times New Roman"/>
          <w:sz w:val="24"/>
          <w:szCs w:val="24"/>
        </w:rPr>
        <w:t>хорошим кандидатом для использования в МШУ.</w:t>
      </w:r>
      <w:r w:rsidR="00DB13DE" w:rsidRPr="00DB13DE">
        <w:rPr>
          <w:rFonts w:ascii="Times New Roman" w:eastAsiaTheme="minorEastAsia" w:hAnsi="Times New Roman" w:cs="Times New Roman"/>
          <w:sz w:val="24"/>
          <w:szCs w:val="24"/>
        </w:rPr>
        <w:br/>
      </w:r>
      <w:r w:rsidR="00DB13DE" w:rsidRPr="00DB13DE">
        <w:rPr>
          <w:noProof/>
        </w:rPr>
        <w:drawing>
          <wp:inline distT="0" distB="0" distL="0" distR="0" wp14:anchorId="4EB6D54D" wp14:editId="5721C15D">
            <wp:extent cx="2835548" cy="1752554"/>
            <wp:effectExtent l="0" t="0" r="3175" b="635"/>
            <wp:docPr id="108624548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4548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0669" cy="17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3DE" w:rsidRPr="00DB13DE">
        <w:rPr>
          <w:noProof/>
        </w:rPr>
        <w:t xml:space="preserve"> </w:t>
      </w:r>
      <w:r w:rsidR="00DB13DE" w:rsidRPr="00DB13DE">
        <w:rPr>
          <w:noProof/>
        </w:rPr>
        <w:drawing>
          <wp:inline distT="0" distB="0" distL="0" distR="0" wp14:anchorId="4503F72F" wp14:editId="442E9D37">
            <wp:extent cx="2758603" cy="1653392"/>
            <wp:effectExtent l="0" t="0" r="3810" b="4445"/>
            <wp:docPr id="434990284" name="Рисунок 1" descr="Изображение выглядит как линия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0284" name="Рисунок 1" descr="Изображение выглядит как линия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182" cy="16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63BC" w14:textId="66EF420C" w:rsidR="00DB13DE" w:rsidRPr="00DB13DE" w:rsidRDefault="00DB13DE" w:rsidP="00DB13DE">
      <w:pPr>
        <w:pStyle w:val="ad"/>
        <w:rPr>
          <w:rFonts w:ascii="Times New Roman" w:eastAsiaTheme="minorEastAsia" w:hAnsi="Times New Roman" w:cs="Times New Roman"/>
          <w:i w:val="0"/>
          <w:iCs w:val="0"/>
          <w:sz w:val="28"/>
          <w:szCs w:val="28"/>
        </w:rPr>
      </w:pP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017E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DB13DE">
        <w:rPr>
          <w:rFonts w:ascii="Times New Roman" w:hAnsi="Times New Roman" w:cs="Times New Roman"/>
          <w:i w:val="0"/>
          <w:iCs w:val="0"/>
          <w:sz w:val="20"/>
          <w:szCs w:val="20"/>
        </w:rPr>
        <w:t>. Зависимость (а) мощности насыщения (б) коэффициента шума для усилителей на основе разных полупроводниковых технологий</w:t>
      </w:r>
    </w:p>
    <w:p w14:paraId="59BF9044" w14:textId="771A2797" w:rsidR="007F1D22" w:rsidRDefault="007F1D22" w:rsidP="000D61D7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Фотонный</w:t>
      </w:r>
      <w:r w:rsidR="0061711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17112" w:rsidRPr="00617112">
        <w:rPr>
          <w:rFonts w:ascii="Times New Roman" w:eastAsiaTheme="minorEastAsia" w:hAnsi="Times New Roman" w:cs="Times New Roman"/>
          <w:sz w:val="24"/>
          <w:szCs w:val="24"/>
        </w:rPr>
        <w:t>оптоэлектронный)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подход -</w:t>
      </w:r>
      <w:r w:rsidR="0050632E" w:rsidRPr="0050632E">
        <w:rPr>
          <w:rFonts w:ascii="Times New Roman" w:eastAsiaTheme="minorEastAsia" w:hAnsi="Times New Roman" w:cs="Times New Roman"/>
          <w:sz w:val="24"/>
          <w:szCs w:val="24"/>
        </w:rPr>
        <w:t xml:space="preserve"> обеспечивают высокую </w:t>
      </w:r>
      <w:r w:rsidR="0050632E">
        <w:rPr>
          <w:rFonts w:ascii="Times New Roman" w:eastAsiaTheme="minorEastAsia" w:hAnsi="Times New Roman" w:cs="Times New Roman"/>
          <w:sz w:val="24"/>
          <w:szCs w:val="24"/>
        </w:rPr>
        <w:t>«</w:t>
      </w:r>
      <w:r w:rsidR="0050632E" w:rsidRPr="0050632E">
        <w:rPr>
          <w:rFonts w:ascii="Times New Roman" w:eastAsiaTheme="minorEastAsia" w:hAnsi="Times New Roman" w:cs="Times New Roman"/>
          <w:sz w:val="24"/>
          <w:szCs w:val="24"/>
        </w:rPr>
        <w:t>спектральную чистоту</w:t>
      </w:r>
      <w:r w:rsidR="0050632E">
        <w:rPr>
          <w:rFonts w:ascii="Times New Roman" w:eastAsiaTheme="minorEastAsia" w:hAnsi="Times New Roman" w:cs="Times New Roman"/>
          <w:sz w:val="24"/>
          <w:szCs w:val="24"/>
        </w:rPr>
        <w:t>»</w:t>
      </w:r>
      <w:r w:rsidR="0050632E" w:rsidRPr="0050632E">
        <w:rPr>
          <w:rFonts w:ascii="Times New Roman" w:eastAsiaTheme="minorEastAsia" w:hAnsi="Times New Roman" w:cs="Times New Roman"/>
          <w:sz w:val="24"/>
          <w:szCs w:val="24"/>
        </w:rPr>
        <w:t xml:space="preserve"> несущей и в ряде случаев более низкий фазовый шум по сравнению с электронными </w:t>
      </w:r>
      <w:r w:rsidR="0050632E">
        <w:rPr>
          <w:rFonts w:ascii="Times New Roman" w:eastAsiaTheme="minorEastAsia" w:hAnsi="Times New Roman" w:cs="Times New Roman"/>
          <w:sz w:val="24"/>
          <w:szCs w:val="24"/>
        </w:rPr>
        <w:t>генераторами на умножителях</w:t>
      </w:r>
      <w:r w:rsidR="0050632E" w:rsidRPr="0050632E">
        <w:rPr>
          <w:rFonts w:ascii="Times New Roman" w:eastAsiaTheme="minorEastAsia" w:hAnsi="Times New Roman" w:cs="Times New Roman"/>
          <w:sz w:val="24"/>
          <w:szCs w:val="24"/>
        </w:rPr>
        <w:t>. Недостатками являются более низкая выходная мощность и сложности интеграции в компактные мобильные устройства.</w:t>
      </w:r>
      <w:r w:rsidR="0061711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0652B9" w14:textId="62DFA007" w:rsidR="00617112" w:rsidRDefault="00617112" w:rsidP="000D61D7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Плазмонные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решения - </w:t>
      </w:r>
      <w:r w:rsidRPr="00617112">
        <w:rPr>
          <w:rFonts w:ascii="Times New Roman" w:eastAsiaTheme="minorEastAsia" w:hAnsi="Times New Roman" w:cs="Times New Roman"/>
          <w:sz w:val="24"/>
          <w:szCs w:val="24"/>
        </w:rPr>
        <w:t>новы</w:t>
      </w:r>
      <w:r>
        <w:rPr>
          <w:rFonts w:ascii="Times New Roman" w:eastAsiaTheme="minorEastAsia" w:hAnsi="Times New Roman" w:cs="Times New Roman"/>
          <w:sz w:val="24"/>
          <w:szCs w:val="24"/>
        </w:rPr>
        <w:t>е</w:t>
      </w:r>
      <w:r w:rsidRPr="00617112">
        <w:rPr>
          <w:rFonts w:ascii="Times New Roman" w:eastAsiaTheme="minorEastAsia" w:hAnsi="Times New Roman" w:cs="Times New Roman"/>
          <w:sz w:val="24"/>
          <w:szCs w:val="24"/>
        </w:rPr>
        <w:t xml:space="preserve"> наноматериалов (например, графена) обещают крайне компактные устройства и высокую </w:t>
      </w:r>
      <w:r w:rsidR="00CC6FA0">
        <w:rPr>
          <w:rFonts w:ascii="Times New Roman" w:eastAsiaTheme="minorEastAsia" w:hAnsi="Times New Roman" w:cs="Times New Roman"/>
          <w:sz w:val="24"/>
          <w:szCs w:val="24"/>
        </w:rPr>
        <w:t xml:space="preserve">эффективность </w:t>
      </w:r>
      <w:r>
        <w:rPr>
          <w:rFonts w:ascii="Times New Roman" w:eastAsiaTheme="minorEastAsia" w:hAnsi="Times New Roman" w:cs="Times New Roman"/>
          <w:sz w:val="24"/>
          <w:szCs w:val="24"/>
        </w:rPr>
        <w:t>именно</w:t>
      </w:r>
      <w:r w:rsidRPr="00617112">
        <w:rPr>
          <w:rFonts w:ascii="Times New Roman" w:eastAsiaTheme="minorEastAsia" w:hAnsi="Times New Roman" w:cs="Times New Roman"/>
          <w:sz w:val="24"/>
          <w:szCs w:val="24"/>
        </w:rPr>
        <w:t xml:space="preserve"> при ТГц-частотах. На данный момент эти решения ограничены по выходной мощности и технологической </w:t>
      </w:r>
      <w:r>
        <w:rPr>
          <w:rFonts w:ascii="Times New Roman" w:eastAsiaTheme="minorEastAsia" w:hAnsi="Times New Roman" w:cs="Times New Roman"/>
          <w:sz w:val="24"/>
          <w:szCs w:val="24"/>
        </w:rPr>
        <w:t>готовности.</w:t>
      </w:r>
    </w:p>
    <w:p w14:paraId="7CE26F2C" w14:textId="1DBB9492" w:rsidR="00FD0EBF" w:rsidRDefault="00966E93" w:rsidP="00FD0EBF">
      <w:pPr>
        <w:pStyle w:val="a7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Построение антенных систем.</w:t>
      </w:r>
    </w:p>
    <w:p w14:paraId="7F369D21" w14:textId="5128A1CD" w:rsidR="001C45B4" w:rsidRPr="00484980" w:rsidRDefault="00416CF7" w:rsidP="00863D3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Открывается огромное количество вариантов разработки антенных элементов с использованием линз, отражателей, а также метаматериалов. 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>Малая длина волны в ТГц-диапазоне делает возможным очень плотную интеграцию элементов антенн и создание ультра-массивных MIMO (UM-MIMO)</w:t>
      </w:r>
      <w:r w:rsidR="002E6773">
        <w:rPr>
          <w:rFonts w:ascii="Times New Roman" w:eastAsiaTheme="minorEastAsia" w:hAnsi="Times New Roman" w:cs="Times New Roman"/>
          <w:sz w:val="24"/>
          <w:szCs w:val="24"/>
        </w:rPr>
        <w:t xml:space="preserve"> систем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 xml:space="preserve"> компактных габарит</w:t>
      </w:r>
      <w:r w:rsidR="002E6773">
        <w:rPr>
          <w:rFonts w:ascii="Times New Roman" w:eastAsiaTheme="minorEastAsia" w:hAnsi="Times New Roman" w:cs="Times New Roman"/>
          <w:sz w:val="24"/>
          <w:szCs w:val="24"/>
        </w:rPr>
        <w:t>ов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 xml:space="preserve"> в отличие от систем 4 и 5 поколения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>. Это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 xml:space="preserve"> является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 xml:space="preserve"> ключев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>ым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 xml:space="preserve"> инструмент</w:t>
      </w:r>
      <w:r w:rsidR="002E6773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>получения высокой направленности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 xml:space="preserve"> компенсации больших потерь</w:t>
      </w:r>
      <w:r w:rsidR="00863D36">
        <w:rPr>
          <w:rFonts w:ascii="Times New Roman" w:eastAsiaTheme="minorEastAsia" w:hAnsi="Times New Roman" w:cs="Times New Roman"/>
          <w:sz w:val="24"/>
          <w:szCs w:val="24"/>
        </w:rPr>
        <w:t xml:space="preserve"> на распространение</w:t>
      </w:r>
      <w:r w:rsidR="00863D36" w:rsidRPr="00863D3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FD00F8C" w14:textId="458B5872" w:rsidR="008A542A" w:rsidRPr="00A07FC5" w:rsidRDefault="001C45B4" w:rsidP="00A07FC5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Со значительным увеличением количества антенн возникает необходимость переработки системы управления лучом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бимформинг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). В системах </w:t>
      </w:r>
      <w:r w:rsidRPr="001C45B4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>/5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1C45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часто использовалось цифровое управление лучом. К каждому антенному элементу мог быть подсоединен свой тракт аналогового фронт-энда со своим АЦП/ЦАП-ом. </w:t>
      </w:r>
      <w:r w:rsidR="00A07FC5">
        <w:rPr>
          <w:rFonts w:ascii="Times New Roman" w:eastAsiaTheme="minorEastAsia" w:hAnsi="Times New Roman" w:cs="Times New Roman"/>
          <w:sz w:val="24"/>
          <w:szCs w:val="24"/>
        </w:rPr>
        <w:t xml:space="preserve">Для систем </w:t>
      </w:r>
      <w:r w:rsidR="00A07FC5">
        <w:rPr>
          <w:rFonts w:ascii="Times New Roman" w:eastAsiaTheme="minorEastAsia" w:hAnsi="Times New Roman" w:cs="Times New Roman"/>
          <w:sz w:val="24"/>
          <w:szCs w:val="24"/>
          <w:lang w:val="en-US"/>
        </w:rPr>
        <w:t>UM</w:t>
      </w:r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A07FC5">
        <w:rPr>
          <w:rFonts w:ascii="Times New Roman" w:eastAsiaTheme="minorEastAsia" w:hAnsi="Times New Roman" w:cs="Times New Roman"/>
          <w:sz w:val="24"/>
          <w:szCs w:val="24"/>
          <w:lang w:val="en-US"/>
        </w:rPr>
        <w:t>MIMO</w:t>
      </w:r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полностью цифровой </w:t>
      </w:r>
      <w:proofErr w:type="spellStart"/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>бимформинг</w:t>
      </w:r>
      <w:proofErr w:type="spellEnd"/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для тысяч элементов </w:t>
      </w:r>
      <w:r w:rsidR="00A07FC5">
        <w:rPr>
          <w:rFonts w:ascii="Times New Roman" w:eastAsiaTheme="minorEastAsia" w:hAnsi="Times New Roman" w:cs="Times New Roman"/>
          <w:sz w:val="24"/>
          <w:szCs w:val="24"/>
        </w:rPr>
        <w:t>по</w:t>
      </w:r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требует огромного числа </w:t>
      </w:r>
      <w:r w:rsidR="00A07FC5">
        <w:rPr>
          <w:rFonts w:ascii="Times New Roman" w:eastAsiaTheme="minorEastAsia" w:hAnsi="Times New Roman" w:cs="Times New Roman"/>
          <w:sz w:val="24"/>
          <w:szCs w:val="24"/>
        </w:rPr>
        <w:t xml:space="preserve">отдельных </w:t>
      </w:r>
      <w:r w:rsidR="00A07FC5">
        <w:rPr>
          <w:rFonts w:ascii="Times New Roman" w:eastAsiaTheme="minorEastAsia" w:hAnsi="Times New Roman" w:cs="Times New Roman"/>
          <w:sz w:val="24"/>
          <w:szCs w:val="24"/>
        </w:rPr>
        <w:lastRenderedPageBreak/>
        <w:t>АЦП/ЦАП,</w:t>
      </w:r>
      <w:r w:rsidR="00A07FC5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поэтому применяют гибридные </w:t>
      </w:r>
      <w:r w:rsidR="00A07FC5">
        <w:rPr>
          <w:rFonts w:ascii="Times New Roman" w:eastAsiaTheme="minorEastAsia" w:hAnsi="Times New Roman" w:cs="Times New Roman"/>
          <w:sz w:val="24"/>
          <w:szCs w:val="24"/>
        </w:rPr>
        <w:t xml:space="preserve">схемы </w:t>
      </w:r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>(Рис. 5</w:t>
      </w:r>
      <w:r w:rsidR="007F0DA7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(а)</w:t>
      </w:r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A07FC5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Так возникает возможность грубой подстройки направления луча диаграммы направленности через аналоговый </w:t>
      </w:r>
      <w:proofErr w:type="spellStart"/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>бимформинг</w:t>
      </w:r>
      <w:proofErr w:type="spellEnd"/>
      <w:r w:rsidR="003B48B6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с использованием </w:t>
      </w:r>
      <w:proofErr w:type="spellStart"/>
      <w:r w:rsidR="003B48B6" w:rsidRPr="00A07FC5">
        <w:rPr>
          <w:rFonts w:ascii="Times New Roman" w:eastAsiaTheme="minorEastAsia" w:hAnsi="Times New Roman" w:cs="Times New Roman"/>
          <w:sz w:val="24"/>
          <w:szCs w:val="24"/>
        </w:rPr>
        <w:t>фазоврещ</w:t>
      </w:r>
      <w:r w:rsidR="00136A63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3B48B6" w:rsidRPr="00A07FC5">
        <w:rPr>
          <w:rFonts w:ascii="Times New Roman" w:eastAsiaTheme="minorEastAsia" w:hAnsi="Times New Roman" w:cs="Times New Roman"/>
          <w:sz w:val="24"/>
          <w:szCs w:val="24"/>
        </w:rPr>
        <w:t>телей</w:t>
      </w:r>
      <w:proofErr w:type="spellEnd"/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, а точечную подстройку уже осуществлять классическим </w:t>
      </w:r>
      <w:proofErr w:type="spellStart"/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>прекодированием</w:t>
      </w:r>
      <w:proofErr w:type="spellEnd"/>
      <w:r w:rsidR="008A542A" w:rsidRPr="00A07FC5">
        <w:rPr>
          <w:rFonts w:ascii="Times New Roman" w:eastAsiaTheme="minorEastAsia" w:hAnsi="Times New Roman" w:cs="Times New Roman"/>
          <w:sz w:val="24"/>
          <w:szCs w:val="24"/>
        </w:rPr>
        <w:t xml:space="preserve"> при цифровой обработке.</w:t>
      </w:r>
    </w:p>
    <w:p w14:paraId="628510D5" w14:textId="77777777" w:rsidR="00BD04DD" w:rsidRDefault="008A542A" w:rsidP="00BD04DD">
      <w:pPr>
        <w:pStyle w:val="a7"/>
        <w:keepNext/>
        <w:ind w:left="360"/>
      </w:pPr>
      <w:r w:rsidRPr="008A542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9C1BD54" wp14:editId="12425216">
            <wp:extent cx="2783796" cy="2110740"/>
            <wp:effectExtent l="0" t="0" r="0" b="3810"/>
            <wp:docPr id="433284715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4715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413" cy="212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4DD" w:rsidRPr="00BD04DD">
        <w:t xml:space="preserve"> </w:t>
      </w:r>
      <w:r w:rsidR="00BD04DD">
        <w:rPr>
          <w:noProof/>
        </w:rPr>
        <w:drawing>
          <wp:inline distT="0" distB="0" distL="0" distR="0" wp14:anchorId="4BDEED8B" wp14:editId="5A44DD62">
            <wp:extent cx="2649041" cy="1958340"/>
            <wp:effectExtent l="19050" t="19050" r="18415" b="22860"/>
            <wp:docPr id="2111296230" name="Рисунок 2" descr="Intelligent Reflecting Surfaces Beamforming Optimization with Statistical  Channel 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lligent Reflecting Surfaces Beamforming Optimization with Statistical  Channel Knowled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336" cy="1968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3B37E" w14:textId="67359FA0" w:rsidR="00BD04DD" w:rsidRPr="00BD04DD" w:rsidRDefault="00BD04DD" w:rsidP="00BD04DD">
      <w:pPr>
        <w:pStyle w:val="ad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017E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5</w:t>
      </w: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(а) Схема гибридного </w:t>
      </w:r>
      <w:proofErr w:type="spellStart"/>
      <w:r w:rsidRPr="00BD04DD">
        <w:rPr>
          <w:rFonts w:ascii="Times New Roman" w:hAnsi="Times New Roman" w:cs="Times New Roman"/>
          <w:i w:val="0"/>
          <w:iCs w:val="0"/>
          <w:sz w:val="20"/>
          <w:szCs w:val="20"/>
        </w:rPr>
        <w:t>бимформинга</w:t>
      </w:r>
      <w:proofErr w:type="spellEnd"/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 xml:space="preserve"> для системы 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  <w:lang w:val="en-US"/>
        </w:rPr>
        <w:t>UM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-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  <w:lang w:val="en-US"/>
        </w:rPr>
        <w:t>MIMO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 xml:space="preserve"> (б) Концепция работы управляемой отражательной моверхности (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  <w:lang w:val="en-US"/>
        </w:rPr>
        <w:t>IRS</w:t>
      </w:r>
      <w:r w:rsidRPr="00BD04DD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)</w:t>
      </w:r>
    </w:p>
    <w:p w14:paraId="260B9A23" w14:textId="1A8E8CCB" w:rsidR="00863D36" w:rsidRPr="000562E0" w:rsidRDefault="00416CF7" w:rsidP="00863D36">
      <w:pPr>
        <w:pStyle w:val="a7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</w:t>
      </w:r>
      <w:r w:rsidR="00F6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6F133D">
        <w:rPr>
          <w:rFonts w:ascii="Times New Roman" w:eastAsiaTheme="minorEastAsia" w:hAnsi="Times New Roman" w:cs="Times New Roman"/>
          <w:sz w:val="24"/>
          <w:szCs w:val="24"/>
        </w:rPr>
        <w:t>же</w:t>
      </w:r>
      <w:proofErr w:type="gramEnd"/>
      <w:r w:rsidR="006F133D" w:rsidRPr="006F13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как и в мм диапазоне 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="00F61570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возникает потребность в так называемых управляемых отражательных поверхностях, </w:t>
      </w:r>
      <w:r w:rsidR="002E6773">
        <w:rPr>
          <w:rFonts w:ascii="Times New Roman" w:eastAsiaTheme="minorEastAsia" w:hAnsi="Times New Roman" w:cs="Times New Roman"/>
          <w:sz w:val="24"/>
          <w:szCs w:val="24"/>
        </w:rPr>
        <w:t>представляющих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собой отражательную решетку, которая может менять свою диаграмму рассеяния и направлять отраженную волну на абонента.</w:t>
      </w:r>
      <w:r w:rsidR="00F61570">
        <w:rPr>
          <w:rFonts w:ascii="Times New Roman" w:eastAsiaTheme="minorEastAsia" w:hAnsi="Times New Roman" w:cs="Times New Roman"/>
          <w:sz w:val="24"/>
          <w:szCs w:val="24"/>
        </w:rPr>
        <w:t xml:space="preserve"> Такие решетки могут управляться через стабильный канал связи с базовой станцией или иметь встроенную систему слежения за абонентом через обработку изображения, поступающего в управляющую цепь в реальном времени</w:t>
      </w:r>
      <w:r w:rsidR="000562E0" w:rsidRPr="000562E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562E0">
        <w:rPr>
          <w:rFonts w:ascii="Times New Roman" w:eastAsiaTheme="minorEastAsia" w:hAnsi="Times New Roman" w:cs="Times New Roman"/>
          <w:sz w:val="24"/>
          <w:szCs w:val="24"/>
        </w:rPr>
        <w:t>Рис. 5 (б)</w:t>
      </w:r>
      <w:r w:rsidR="000562E0" w:rsidRPr="000562E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6157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FE6C83" w14:textId="776AE548" w:rsidR="007E2294" w:rsidRDefault="004632BF" w:rsidP="007E2294">
      <w:pPr>
        <w:pStyle w:val="a7"/>
        <w:keepNext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Требования к устройствам АЦП и ЦАП.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br/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 xml:space="preserve">Требуемые полосы для Терабитных 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>скоростей передачи данных</w:t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 xml:space="preserve"> могут достигать десятков 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>сотен ГГц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>Э</w:t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 xml:space="preserve">лектронные </w:t>
      </w:r>
      <w:r w:rsidR="00EB1643">
        <w:rPr>
          <w:rFonts w:ascii="Times New Roman" w:eastAsiaTheme="minorEastAsia" w:hAnsi="Times New Roman" w:cs="Times New Roman"/>
          <w:sz w:val="24"/>
          <w:szCs w:val="24"/>
        </w:rPr>
        <w:t>АЦП/ЦАП</w:t>
      </w:r>
      <w:r w:rsidR="00EB1643" w:rsidRPr="00EB1643">
        <w:rPr>
          <w:rFonts w:ascii="Times New Roman" w:eastAsiaTheme="minorEastAsia" w:hAnsi="Times New Roman" w:cs="Times New Roman"/>
          <w:sz w:val="24"/>
          <w:szCs w:val="24"/>
        </w:rPr>
        <w:t xml:space="preserve"> с необходимой скоростью и разрешением либо ещё не доступны, либо потребляют слишком много энергии.</w:t>
      </w:r>
      <w:r w:rsidR="007E2294" w:rsidRPr="00413F20">
        <w:rPr>
          <w:rFonts w:ascii="Times New Roman" w:eastAsiaTheme="minorEastAsia" w:hAnsi="Times New Roman" w:cs="Times New Roman"/>
          <w:sz w:val="24"/>
          <w:szCs w:val="24"/>
        </w:rPr>
        <w:br/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Согласно [1], в настоящее время экспериментально продемонстрированы современные цифро-аналоговые преобразователи, способные выполнять дискретизацию с частотой более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100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</m:oMath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 отсчётов в секунду (</w:t>
      </w:r>
      <w:r w:rsidR="007E2294">
        <w:rPr>
          <w:rFonts w:ascii="Times New Roman" w:eastAsiaTheme="minorEastAsia" w:hAnsi="Times New Roman" w:cs="Times New Roman"/>
          <w:sz w:val="24"/>
          <w:szCs w:val="24"/>
          <w:lang w:val="en-US"/>
        </w:rPr>
        <w:t>GSps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>).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 xml:space="preserve"> Для использования в ТГц диапазоне предлагается схема разделения оцифровываемого сигнала на частотные подканалы и отдельная их оцифровка с дальнейшим комбинированием. 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Например, два 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>АЦП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 с частотой дискретизации 128 </w:t>
      </w:r>
      <w:r w:rsidR="007E2294">
        <w:rPr>
          <w:rFonts w:ascii="Times New Roman" w:eastAsiaTheme="minorEastAsia" w:hAnsi="Times New Roman" w:cs="Times New Roman"/>
          <w:sz w:val="24"/>
          <w:szCs w:val="24"/>
          <w:lang w:val="en-US"/>
        </w:rPr>
        <w:t>GSps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 могут быть 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>использованы для получения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 xml:space="preserve"> частоты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>искретизации 256</w:t>
      </w:r>
      <w:r w:rsidR="007E2294" w:rsidRPr="001359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E2294">
        <w:rPr>
          <w:rFonts w:ascii="Times New Roman" w:eastAsiaTheme="minorEastAsia" w:hAnsi="Times New Roman" w:cs="Times New Roman"/>
          <w:sz w:val="24"/>
          <w:szCs w:val="24"/>
          <w:lang w:val="en-US"/>
        </w:rPr>
        <w:t>GSps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 xml:space="preserve"> (Рис. 6)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>. Это соответствует максимальной ширине полосы сигнала до 128 ГГц</w:t>
      </w:r>
      <w:r w:rsidR="007E2294" w:rsidRPr="00B96CC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>согласно теореме Котельникова</w:t>
      </w:r>
      <w:r w:rsidR="007E2294" w:rsidRPr="00B96CC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7E2294" w:rsidRPr="00275CA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A2B70C" w14:textId="77777777" w:rsidR="007E2294" w:rsidRDefault="007E2294" w:rsidP="007E2294">
      <w:pPr>
        <w:keepNext/>
      </w:pPr>
      <w:r w:rsidRPr="00752F9A">
        <w:rPr>
          <w:noProof/>
        </w:rPr>
        <w:drawing>
          <wp:inline distT="0" distB="0" distL="0" distR="0" wp14:anchorId="5ECA88FB" wp14:editId="071D1E56">
            <wp:extent cx="5789393" cy="1539092"/>
            <wp:effectExtent l="0" t="0" r="1905" b="4445"/>
            <wp:docPr id="41927472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472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9912" cy="161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20F9" w14:textId="56E1F040" w:rsidR="004632AB" w:rsidRPr="007E2294" w:rsidRDefault="007E2294" w:rsidP="007E2294">
      <w:pPr>
        <w:pStyle w:val="ad"/>
        <w:ind w:left="360"/>
        <w:jc w:val="center"/>
        <w:rPr>
          <w:rFonts w:ascii="Times New Roman" w:eastAsiaTheme="minorEastAsia" w:hAnsi="Times New Roman" w:cs="Times New Roman"/>
          <w:i w:val="0"/>
          <w:iCs w:val="0"/>
          <w:sz w:val="28"/>
          <w:szCs w:val="28"/>
        </w:rPr>
      </w:pP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017E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6</w:t>
      </w: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D24106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 Схема оцифровки сигнала с шириной полосы </w:t>
      </w:r>
      <w:r w:rsidRPr="00D24106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порядка 100 ГГц через параллельную оцифровку частотных подканалов</w:t>
      </w:r>
    </w:p>
    <w:p w14:paraId="0F6A5E59" w14:textId="02E8CA30" w:rsidR="00752F9A" w:rsidRPr="00047781" w:rsidRDefault="00752F9A" w:rsidP="004632AB">
      <w:pPr>
        <w:keepNext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47781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Сигнал</w:t>
      </w:r>
      <w:r w:rsidR="0047743D" w:rsidRPr="00047781">
        <w:rPr>
          <w:rFonts w:ascii="Times New Roman" w:eastAsiaTheme="minorEastAsia" w:hAnsi="Times New Roman" w:cs="Times New Roman"/>
          <w:b/>
          <w:bCs/>
          <w:sz w:val="24"/>
          <w:szCs w:val="24"/>
        </w:rPr>
        <w:t>ьн</w:t>
      </w:r>
      <w:r w:rsidR="00DC65EF">
        <w:rPr>
          <w:rFonts w:ascii="Times New Roman" w:eastAsiaTheme="minorEastAsia" w:hAnsi="Times New Roman" w:cs="Times New Roman"/>
          <w:b/>
          <w:bCs/>
          <w:sz w:val="24"/>
          <w:szCs w:val="24"/>
        </w:rPr>
        <w:t>ые</w:t>
      </w:r>
      <w:r w:rsidR="0047743D" w:rsidRPr="0004778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конструкции</w:t>
      </w:r>
      <w:r w:rsidR="000B292F" w:rsidRPr="00047781">
        <w:rPr>
          <w:rFonts w:ascii="Times New Roman" w:eastAsiaTheme="minorEastAsia" w:hAnsi="Times New Roman" w:cs="Times New Roman"/>
          <w:b/>
          <w:bCs/>
          <w:sz w:val="24"/>
          <w:szCs w:val="24"/>
        </w:rPr>
        <w:t>,</w:t>
      </w:r>
      <w:r w:rsidRPr="0004778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предлагаемые для использования в системах 6</w:t>
      </w:r>
      <w:r w:rsidRPr="0004778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G</w:t>
      </w:r>
    </w:p>
    <w:p w14:paraId="3CBA803B" w14:textId="49AF1EA7" w:rsidR="002474C7" w:rsidRDefault="00047781" w:rsidP="004632AB">
      <w:pPr>
        <w:keepNext/>
        <w:rPr>
          <w:rFonts w:ascii="Times New Roman" w:eastAsiaTheme="minorEastAsia" w:hAnsi="Times New Roman" w:cs="Times New Roman"/>
          <w:sz w:val="24"/>
          <w:szCs w:val="24"/>
        </w:rPr>
      </w:pPr>
      <w:r w:rsidRPr="00047781">
        <w:rPr>
          <w:rFonts w:ascii="Times New Roman" w:eastAsiaTheme="minorEastAsia" w:hAnsi="Times New Roman" w:cs="Times New Roman"/>
          <w:sz w:val="24"/>
          <w:szCs w:val="24"/>
        </w:rPr>
        <w:t>Экстремальные требования, предъявляемые к системам беспроводной связи шестого поколения, в частности сверхвысокие скорости передачи данных, широкие полосы частот и жёсткие ограничения по энергопотреблению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ставят непростую задачу по выбору структуры передаваемого сигнала.</w:t>
      </w:r>
      <w:r w:rsidR="00C82F4E">
        <w:rPr>
          <w:rFonts w:ascii="Times New Roman" w:eastAsiaTheme="minorEastAsia" w:hAnsi="Times New Roman" w:cs="Times New Roman"/>
          <w:sz w:val="24"/>
          <w:szCs w:val="24"/>
        </w:rPr>
        <w:t xml:space="preserve"> В данном разделе будут подчеркнуты только те технологии, которые необходимы как прямое следствие перехода в ТГц диапазон.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br/>
        <w:t xml:space="preserve">В сетях 4-го и 5-го поколения основной технологией передачи была </w:t>
      </w:r>
      <w:r w:rsid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OFDM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>ортогональное частотное разделение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 xml:space="preserve">. Причем вариант передачи с дополнительным </w:t>
      </w:r>
      <w:proofErr w:type="spellStart"/>
      <w:r w:rsidR="00AE3C9C">
        <w:rPr>
          <w:rFonts w:ascii="Times New Roman" w:eastAsiaTheme="minorEastAsia" w:hAnsi="Times New Roman" w:cs="Times New Roman"/>
          <w:sz w:val="24"/>
          <w:szCs w:val="24"/>
        </w:rPr>
        <w:t>прекодированием</w:t>
      </w:r>
      <w:proofErr w:type="spellEnd"/>
      <w:r w:rsidR="00AE3C9C">
        <w:rPr>
          <w:rFonts w:ascii="Times New Roman" w:eastAsiaTheme="minorEastAsia" w:hAnsi="Times New Roman" w:cs="Times New Roman"/>
          <w:sz w:val="24"/>
          <w:szCs w:val="24"/>
        </w:rPr>
        <w:t xml:space="preserve"> в виде ДПФ 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 xml:space="preserve">такую технологию называли 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SC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FDMA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>позволял получить сигнал с пониженным пик-фактором и ослабить требования к усилителям в аналоговых цепочках.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br/>
        <w:t xml:space="preserve">В сетях 6-го поколения очень много разговоров было об уходе от схем, основанных на </w:t>
      </w:r>
      <w:r w:rsid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OFDM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 xml:space="preserve"> из-за высоких требований к пик-фактору у усилителей, однако на данный момент пока что главным кандидатом для технологии передачи все равно остается </w:t>
      </w:r>
      <w:r w:rsid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SC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AE3C9C">
        <w:rPr>
          <w:rFonts w:ascii="Times New Roman" w:eastAsiaTheme="minorEastAsia" w:hAnsi="Times New Roman" w:cs="Times New Roman"/>
          <w:sz w:val="24"/>
          <w:szCs w:val="24"/>
          <w:lang w:val="en-US"/>
        </w:rPr>
        <w:t>FDMA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AE3C9C" w:rsidRPr="0034367D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AE3C9C" w:rsidRPr="00AE3C9C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AE3C9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4367D">
        <w:rPr>
          <w:rFonts w:ascii="Times New Roman" w:eastAsiaTheme="minorEastAsia" w:hAnsi="Times New Roman" w:cs="Times New Roman"/>
          <w:sz w:val="24"/>
          <w:szCs w:val="24"/>
        </w:rPr>
        <w:t xml:space="preserve"> Однако, учитывая, что в ТГц диапазоне довольно сильно возрастает Доплеровское смещение (как было описано ранее)</w:t>
      </w:r>
      <w:r w:rsidR="003F5CD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82F4E">
        <w:rPr>
          <w:rFonts w:ascii="Times New Roman" w:eastAsiaTheme="minorEastAsia" w:hAnsi="Times New Roman" w:cs="Times New Roman"/>
          <w:sz w:val="24"/>
          <w:szCs w:val="24"/>
        </w:rPr>
        <w:t xml:space="preserve">большое распространение может получить технология </w:t>
      </w:r>
      <w:r w:rsidR="00C82F4E">
        <w:rPr>
          <w:rFonts w:ascii="Times New Roman" w:eastAsiaTheme="minorEastAsia" w:hAnsi="Times New Roman" w:cs="Times New Roman"/>
          <w:sz w:val="24"/>
          <w:szCs w:val="24"/>
          <w:lang w:val="en-US"/>
        </w:rPr>
        <w:t>OTFS</w:t>
      </w:r>
      <w:r w:rsidR="003705FB" w:rsidRPr="003705FB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3705FB" w:rsidRPr="00DC65EF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3705FB" w:rsidRPr="003705FB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C82F4E">
        <w:rPr>
          <w:rFonts w:ascii="Times New Roman" w:eastAsiaTheme="minorEastAsia" w:hAnsi="Times New Roman" w:cs="Times New Roman"/>
          <w:sz w:val="24"/>
          <w:szCs w:val="24"/>
        </w:rPr>
        <w:t xml:space="preserve"> – схема, являющаяся надстройкой над </w:t>
      </w:r>
      <w:r w:rsidR="00C82F4E">
        <w:rPr>
          <w:rFonts w:ascii="Times New Roman" w:eastAsiaTheme="minorEastAsia" w:hAnsi="Times New Roman" w:cs="Times New Roman"/>
          <w:sz w:val="24"/>
          <w:szCs w:val="24"/>
          <w:lang w:val="en-US"/>
        </w:rPr>
        <w:t>OFDM</w:t>
      </w:r>
      <w:r w:rsidR="00C82F4E">
        <w:rPr>
          <w:rFonts w:ascii="Times New Roman" w:eastAsiaTheme="minorEastAsia" w:hAnsi="Times New Roman" w:cs="Times New Roman"/>
          <w:sz w:val="24"/>
          <w:szCs w:val="24"/>
        </w:rPr>
        <w:t>, которая показывает лучшую помехоустойчивость в случае высоких Доплеровских смещений. Однако приемник для такой схемы получается вычислительно сложнее.</w:t>
      </w:r>
      <w:r w:rsidR="003705FB">
        <w:rPr>
          <w:rFonts w:ascii="Times New Roman" w:eastAsiaTheme="minorEastAsia" w:hAnsi="Times New Roman" w:cs="Times New Roman"/>
          <w:sz w:val="24"/>
          <w:szCs w:val="24"/>
        </w:rPr>
        <w:br/>
        <w:t xml:space="preserve">Также в литературе </w:t>
      </w:r>
      <w:r w:rsidR="003705FB" w:rsidRPr="00DC65EF">
        <w:rPr>
          <w:rFonts w:ascii="Times New Roman" w:eastAsiaTheme="minorEastAsia" w:hAnsi="Times New Roman" w:cs="Times New Roman"/>
          <w:sz w:val="24"/>
          <w:szCs w:val="24"/>
        </w:rPr>
        <w:t>[5]</w:t>
      </w:r>
      <w:r w:rsidR="00DC65EF" w:rsidRPr="00DC65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65EF">
        <w:rPr>
          <w:rFonts w:ascii="Times New Roman" w:eastAsiaTheme="minorEastAsia" w:hAnsi="Times New Roman" w:cs="Times New Roman"/>
          <w:sz w:val="24"/>
          <w:szCs w:val="24"/>
        </w:rPr>
        <w:t xml:space="preserve">встречается описание сигналов, которые могут стать эффективными для использования </w:t>
      </w:r>
      <w:r w:rsidR="002474C7">
        <w:rPr>
          <w:rFonts w:ascii="Times New Roman" w:eastAsiaTheme="minorEastAsia" w:hAnsi="Times New Roman" w:cs="Times New Roman"/>
          <w:sz w:val="24"/>
          <w:szCs w:val="24"/>
        </w:rPr>
        <w:t>во все</w:t>
      </w:r>
      <w:r w:rsidR="00DC65EF">
        <w:rPr>
          <w:rFonts w:ascii="Times New Roman" w:eastAsiaTheme="minorEastAsia" w:hAnsi="Times New Roman" w:cs="Times New Roman"/>
          <w:sz w:val="24"/>
          <w:szCs w:val="24"/>
        </w:rPr>
        <w:t xml:space="preserve"> время расширяющихся системах интернета вещей</w:t>
      </w:r>
      <w:r w:rsidR="002474C7">
        <w:rPr>
          <w:rFonts w:ascii="Times New Roman" w:eastAsiaTheme="minorEastAsia" w:hAnsi="Times New Roman" w:cs="Times New Roman"/>
          <w:sz w:val="24"/>
          <w:szCs w:val="24"/>
        </w:rPr>
        <w:t xml:space="preserve"> – это импульсные сигналы фемтосекундной длительности (импульсы с очень большой скважности). Такие импульсы предполагается заполнять частотой порядка нескольких единиц ТГц и использовать для передачи данных на очень короткие расстояния. В случае, если передается 0 - импульс не генерируется, а если передается 1, то генерируется. Такие сигналы не подойдут для связи с абонентами в городской среде, однако для связи вещей в составе умного дома с некоторым сетевым узлом</w:t>
      </w:r>
      <w:r w:rsidR="002474C7" w:rsidRPr="002474C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2474C7">
        <w:rPr>
          <w:rFonts w:ascii="Times New Roman" w:eastAsiaTheme="minorEastAsia" w:hAnsi="Times New Roman" w:cs="Times New Roman"/>
          <w:sz w:val="24"/>
          <w:szCs w:val="24"/>
        </w:rPr>
        <w:t>или связи датчиков мониторинга здоровья с некоторым узлом</w:t>
      </w:r>
      <w:r w:rsidR="002474C7" w:rsidRPr="002474C7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474C7">
        <w:rPr>
          <w:rFonts w:ascii="Times New Roman" w:eastAsiaTheme="minorEastAsia" w:hAnsi="Times New Roman" w:cs="Times New Roman"/>
          <w:sz w:val="24"/>
          <w:szCs w:val="24"/>
        </w:rPr>
        <w:t xml:space="preserve"> будут удобны в силу нескольких причин</w:t>
      </w:r>
      <w:r w:rsidR="002474C7" w:rsidRPr="002474C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117FA52" w14:textId="77777777" w:rsidR="00BB13C2" w:rsidRDefault="002474C7" w:rsidP="002474C7">
      <w:pPr>
        <w:pStyle w:val="a7"/>
        <w:keepNext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Сигналы от датчиков (устройств умного дома или устройств мониторинга здоровья) являются довольно редкими, поэтому большую часть времени устройства «молчат». Но в случае надобности передачи сигнала, они передадут его довольно быстро </w:t>
      </w:r>
      <w:r w:rsidR="00BB13C2" w:rsidRPr="00BB13C2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 xml:space="preserve">на узел, который отправит дальше или ответит ответной управляющей командой) </w:t>
      </w:r>
      <w:r>
        <w:rPr>
          <w:rFonts w:ascii="Times New Roman" w:eastAsiaTheme="minorEastAsia" w:hAnsi="Times New Roman" w:cs="Times New Roman"/>
          <w:sz w:val="24"/>
          <w:szCs w:val="24"/>
        </w:rPr>
        <w:t>по сравнению с передаче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>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сигнала со всеми процедурами попадания в общую сеть.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 xml:space="preserve"> Это преимущество позволяет получать очень быструю реакцию на показания датчиков.</w:t>
      </w:r>
    </w:p>
    <w:p w14:paraId="0E3AF36A" w14:textId="23A76BCA" w:rsidR="00BB13C2" w:rsidRDefault="00BB13C2" w:rsidP="002474C7">
      <w:pPr>
        <w:pStyle w:val="a7"/>
        <w:keepNext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Такие сигналы имеют низк</w:t>
      </w:r>
      <w:r w:rsidR="003700A8">
        <w:rPr>
          <w:rFonts w:ascii="Times New Roman" w:eastAsiaTheme="minorEastAsia" w:hAnsi="Times New Roman" w:cs="Times New Roman"/>
          <w:sz w:val="24"/>
          <w:szCs w:val="24"/>
        </w:rPr>
        <w:t>ое значение средней активной мощности</w:t>
      </w:r>
      <w:r>
        <w:rPr>
          <w:rFonts w:ascii="Times New Roman" w:eastAsiaTheme="minorEastAsia" w:hAnsi="Times New Roman" w:cs="Times New Roman"/>
          <w:sz w:val="24"/>
          <w:szCs w:val="24"/>
        </w:rPr>
        <w:t>, что упрощает дизайн аналоговых цепочек приемников и передатчико</w:t>
      </w:r>
      <w:r w:rsidR="003700A8">
        <w:rPr>
          <w:rFonts w:ascii="Times New Roman" w:eastAsiaTheme="minorEastAsia" w:hAnsi="Times New Roman" w:cs="Times New Roman"/>
          <w:sz w:val="24"/>
          <w:szCs w:val="24"/>
        </w:rPr>
        <w:t>в с точки зрения энергопотребления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09C91C9" w14:textId="05BA99BF" w:rsidR="00047781" w:rsidRDefault="00BB13C2" w:rsidP="002474C7">
      <w:pPr>
        <w:pStyle w:val="a7"/>
        <w:keepNext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Из-за высокой скважности импульсов коллизии между 2 разными устройствами, пытающимися передать информацию узлу, имеют очень низкую вероятность.</w:t>
      </w:r>
    </w:p>
    <w:p w14:paraId="070D015B" w14:textId="5D616490" w:rsidR="00BB13C2" w:rsidRDefault="00AF3F4E" w:rsidP="00BB13C2">
      <w:pPr>
        <w:keepNext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завершение данного раздела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 xml:space="preserve"> хотел бы обратить внимание на момент, 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>отмечен</w:t>
      </w:r>
      <w:r w:rsidR="007E2294">
        <w:rPr>
          <w:rFonts w:ascii="Times New Roman" w:eastAsiaTheme="minorEastAsia" w:hAnsi="Times New Roman" w:cs="Times New Roman"/>
          <w:sz w:val="24"/>
          <w:szCs w:val="24"/>
        </w:rPr>
        <w:t>ный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BB13C2" w:rsidRPr="00BB13C2">
        <w:rPr>
          <w:rFonts w:ascii="Times New Roman" w:eastAsiaTheme="minorEastAsia" w:hAnsi="Times New Roman" w:cs="Times New Roman"/>
          <w:sz w:val="24"/>
          <w:szCs w:val="24"/>
        </w:rPr>
        <w:t xml:space="preserve">[1] 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>касательно используемых сигналов и алгоритмов обработки – сигналы должны позволять делать дизайн не сильно вычислительно-затратных алгоритмов, чтобы не увеличивать задержку из-за долгой обработки в системах быстрой передачи данных</w:t>
      </w:r>
      <w:r w:rsidR="007638A3">
        <w:rPr>
          <w:rFonts w:ascii="Times New Roman" w:eastAsiaTheme="minorEastAsia" w:hAnsi="Times New Roman" w:cs="Times New Roman"/>
          <w:sz w:val="24"/>
          <w:szCs w:val="24"/>
        </w:rPr>
        <w:t xml:space="preserve"> сетей 6-го поколения</w:t>
      </w:r>
      <w:r w:rsidR="00BB13C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154FA3A" w14:textId="3E45E1BF" w:rsidR="007638A3" w:rsidRPr="006A0366" w:rsidRDefault="007638A3" w:rsidP="00BB13C2">
      <w:pPr>
        <w:keepNext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A0366">
        <w:rPr>
          <w:rFonts w:ascii="Times New Roman" w:eastAsiaTheme="minorEastAsia" w:hAnsi="Times New Roman" w:cs="Times New Roman"/>
          <w:b/>
          <w:bCs/>
          <w:sz w:val="24"/>
          <w:szCs w:val="24"/>
        </w:rPr>
        <w:t>Заключение</w:t>
      </w:r>
    </w:p>
    <w:p w14:paraId="6879CED0" w14:textId="00EDEF26" w:rsidR="00BB13C2" w:rsidRPr="00BB13C2" w:rsidRDefault="007638A3" w:rsidP="00BB13C2">
      <w:pPr>
        <w:keepNext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ТГц</w:t>
      </w:r>
      <w:r w:rsidRPr="007638A3">
        <w:rPr>
          <w:rFonts w:ascii="Times New Roman" w:eastAsiaTheme="minorEastAsia" w:hAnsi="Times New Roman" w:cs="Times New Roman"/>
          <w:sz w:val="24"/>
          <w:szCs w:val="24"/>
        </w:rPr>
        <w:t xml:space="preserve"> диапазон открывает уникальную возможность для реализации принципиально новых классов сервисов 6G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Однако, как было отмечено, переход на новые частоты сопровождается огромным количеством инженерных вызовов из-за особенностей физики распространения волн в данном диапазоне. Ключом к практической реализации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должен</w:t>
      </w:r>
      <w:r w:rsidR="00B54B83">
        <w:rPr>
          <w:rFonts w:ascii="Times New Roman" w:eastAsiaTheme="minorEastAsia" w:hAnsi="Times New Roman" w:cs="Times New Roman"/>
          <w:sz w:val="24"/>
          <w:szCs w:val="24"/>
        </w:rPr>
        <w:t>а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послужить </w:t>
      </w:r>
      <w:r w:rsidR="006A0366">
        <w:rPr>
          <w:rFonts w:ascii="Times New Roman" w:eastAsiaTheme="minorEastAsia" w:hAnsi="Times New Roman" w:cs="Times New Roman"/>
          <w:sz w:val="24"/>
          <w:szCs w:val="24"/>
        </w:rPr>
        <w:lastRenderedPageBreak/>
        <w:t>согласованн</w:t>
      </w:r>
      <w:r w:rsidR="002E1E42">
        <w:rPr>
          <w:rFonts w:ascii="Times New Roman" w:eastAsiaTheme="minorEastAsia" w:hAnsi="Times New Roman" w:cs="Times New Roman"/>
          <w:sz w:val="24"/>
          <w:szCs w:val="24"/>
        </w:rPr>
        <w:t>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1E42">
        <w:rPr>
          <w:rFonts w:ascii="Times New Roman" w:eastAsiaTheme="minorEastAsia" w:hAnsi="Times New Roman" w:cs="Times New Roman"/>
          <w:sz w:val="24"/>
          <w:szCs w:val="24"/>
        </w:rPr>
        <w:t>разработка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сигналов, аппаратуры и сетевых архитектур.</w:t>
      </w:r>
      <w:r w:rsidR="006A0366">
        <w:rPr>
          <w:rFonts w:ascii="Times New Roman" w:eastAsiaTheme="minorEastAsia" w:hAnsi="Times New Roman" w:cs="Times New Roman"/>
          <w:sz w:val="24"/>
          <w:szCs w:val="24"/>
        </w:rPr>
        <w:t xml:space="preserve"> Потенциальный переход в ТГц диапазон открыл большое количество направлений для научных исследований в области полупроводников, фотоники и вычислительной </w:t>
      </w:r>
      <w:r w:rsidR="00EF4A9E">
        <w:rPr>
          <w:rFonts w:ascii="Times New Roman" w:eastAsiaTheme="minorEastAsia" w:hAnsi="Times New Roman" w:cs="Times New Roman"/>
          <w:sz w:val="24"/>
          <w:szCs w:val="24"/>
        </w:rPr>
        <w:t>техники</w:t>
      </w:r>
      <w:r w:rsidR="006A036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9163CB">
        <w:rPr>
          <w:rFonts w:ascii="Times New Roman" w:eastAsiaTheme="minorEastAsia" w:hAnsi="Times New Roman" w:cs="Times New Roman"/>
          <w:sz w:val="24"/>
          <w:szCs w:val="24"/>
        </w:rPr>
        <w:t>К</w:t>
      </w:r>
      <w:r w:rsidR="00EF4A9E">
        <w:rPr>
          <w:rFonts w:ascii="Times New Roman" w:eastAsiaTheme="minorEastAsia" w:hAnsi="Times New Roman" w:cs="Times New Roman"/>
          <w:sz w:val="24"/>
          <w:szCs w:val="24"/>
        </w:rPr>
        <w:t>оммерческие сети в ТГц диапазоне пока не развернут</w:t>
      </w:r>
      <w:r w:rsidR="009163CB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F4A9E">
        <w:rPr>
          <w:rFonts w:ascii="Times New Roman" w:eastAsiaTheme="minorEastAsia" w:hAnsi="Times New Roman" w:cs="Times New Roman"/>
          <w:sz w:val="24"/>
          <w:szCs w:val="24"/>
        </w:rPr>
        <w:t>, а находятся скорее на стадии исследований и прототипирования.</w:t>
      </w:r>
    </w:p>
    <w:p w14:paraId="364000A6" w14:textId="7BD7587B" w:rsidR="006863E8" w:rsidRPr="00BB13C2" w:rsidRDefault="006863E8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B13C2">
        <w:rPr>
          <w:rFonts w:ascii="Times New Roman" w:eastAsiaTheme="minorEastAsia" w:hAnsi="Times New Roman" w:cs="Times New Roman"/>
          <w:b/>
          <w:bCs/>
          <w:sz w:val="24"/>
          <w:szCs w:val="24"/>
        </w:rPr>
        <w:t>Список литературы:</w:t>
      </w:r>
    </w:p>
    <w:p w14:paraId="65D10776" w14:textId="371CD0F5" w:rsidR="006863E8" w:rsidRDefault="006863E8" w:rsidP="006863E8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863E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Akyildiz I. F. et al. Terahertz band communication: An old problem revisited and research directions for the next </w:t>
      </w:r>
      <w:proofErr w:type="gramStart"/>
      <w:r w:rsidRPr="006863E8">
        <w:rPr>
          <w:rFonts w:ascii="Times New Roman" w:eastAsiaTheme="minorEastAsia" w:hAnsi="Times New Roman" w:cs="Times New Roman"/>
          <w:sz w:val="24"/>
          <w:szCs w:val="24"/>
          <w:lang w:val="en-US"/>
        </w:rPr>
        <w:t>decade //</w:t>
      </w:r>
      <w:proofErr w:type="gramEnd"/>
      <w:r w:rsidRPr="006863E8">
        <w:rPr>
          <w:rFonts w:ascii="Times New Roman" w:eastAsiaTheme="minorEastAsia" w:hAnsi="Times New Roman" w:cs="Times New Roman"/>
          <w:sz w:val="24"/>
          <w:szCs w:val="24"/>
          <w:lang w:val="en-US"/>
        </w:rPr>
        <w:t>IEEE Transactions on Communications. – 2022. – Т. 70. – №. 6. – С. 4250-4285.</w:t>
      </w:r>
    </w:p>
    <w:p w14:paraId="1D5A1595" w14:textId="185199CC" w:rsidR="006863E8" w:rsidRDefault="00A87F56" w:rsidP="006863E8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87F56">
        <w:rPr>
          <w:rFonts w:ascii="Times New Roman" w:eastAsiaTheme="minorEastAsia" w:hAnsi="Times New Roman" w:cs="Times New Roman"/>
          <w:sz w:val="24"/>
          <w:szCs w:val="24"/>
          <w:lang w:val="en-US"/>
        </w:rPr>
        <w:t>Rappaport T. S. et al. Wireless communications and applications above 100 GHz: Opportunities and challenges for 6G and beyond //IEEE access. – 2019. – Т. 7. – С. 78729-78757.</w:t>
      </w:r>
    </w:p>
    <w:p w14:paraId="67808BBA" w14:textId="016F8E92" w:rsidR="00A87F56" w:rsidRPr="00947439" w:rsidRDefault="00B513C9" w:rsidP="006863E8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B513C9">
        <w:rPr>
          <w:rFonts w:ascii="Times New Roman" w:eastAsiaTheme="minorEastAsia" w:hAnsi="Times New Roman" w:cs="Times New Roman"/>
          <w:sz w:val="24"/>
          <w:szCs w:val="24"/>
          <w:lang w:val="en-US"/>
        </w:rPr>
        <w:t>Belostotski</w:t>
      </w:r>
      <w:proofErr w:type="spellEnd"/>
      <w:r w:rsidRPr="00B513C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L., Jagtap S. Down with noise: An introduction to a low-noise amplifier survey //IEEE Solid-State Circuits Magazine. – 2020. – Т. 12. – №. 2. – С. 23-29.</w:t>
      </w:r>
    </w:p>
    <w:p w14:paraId="2527F874" w14:textId="1DBA1B9D" w:rsidR="00C213A2" w:rsidRPr="00C213A2" w:rsidRDefault="00C213A2" w:rsidP="006863E8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213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Wu Y., Han C., Yang T. DFT-spread orthogonal time frequency space modulation design for terahertz communications //2021 IEEE Global Communications Conference (GLOBECOM). – IEEE, 2021. – </w:t>
      </w:r>
      <w:r w:rsidRPr="00C213A2">
        <w:rPr>
          <w:rFonts w:ascii="Times New Roman" w:eastAsiaTheme="minorEastAsia" w:hAnsi="Times New Roman" w:cs="Times New Roman"/>
          <w:sz w:val="24"/>
          <w:szCs w:val="24"/>
        </w:rPr>
        <w:t>С</w:t>
      </w:r>
      <w:r w:rsidRPr="00C213A2">
        <w:rPr>
          <w:rFonts w:ascii="Times New Roman" w:eastAsiaTheme="minorEastAsia" w:hAnsi="Times New Roman" w:cs="Times New Roman"/>
          <w:sz w:val="24"/>
          <w:szCs w:val="24"/>
          <w:lang w:val="en-US"/>
        </w:rPr>
        <w:t>. 01-06.</w:t>
      </w:r>
    </w:p>
    <w:p w14:paraId="14D0FD80" w14:textId="1A195846" w:rsidR="00C213A2" w:rsidRPr="00C213A2" w:rsidRDefault="00C213A2" w:rsidP="00C213A2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47439">
        <w:rPr>
          <w:rFonts w:ascii="Times New Roman" w:eastAsiaTheme="minorEastAsia" w:hAnsi="Times New Roman" w:cs="Times New Roman"/>
          <w:sz w:val="24"/>
          <w:szCs w:val="24"/>
          <w:lang w:val="en-US"/>
        </w:rPr>
        <w:t>Jornet J. M., Akyildiz I. F. Femtosecond-long pulse-based modulation for terahertz band communication in nanonetworks //IEEE Transactions on Communications. – 2014. – Т. 62. – №. 5. – С. 1742-1754.</w:t>
      </w:r>
    </w:p>
    <w:sectPr w:rsidR="00C213A2" w:rsidRPr="00C213A2" w:rsidSect="004643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7FB9"/>
    <w:multiLevelType w:val="hybridMultilevel"/>
    <w:tmpl w:val="E6806E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8D542E"/>
    <w:multiLevelType w:val="hybridMultilevel"/>
    <w:tmpl w:val="75B28F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2449F3"/>
    <w:multiLevelType w:val="hybridMultilevel"/>
    <w:tmpl w:val="49409D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266E5A"/>
    <w:multiLevelType w:val="hybridMultilevel"/>
    <w:tmpl w:val="A1023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A6491"/>
    <w:multiLevelType w:val="hybridMultilevel"/>
    <w:tmpl w:val="49409D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2A5770"/>
    <w:multiLevelType w:val="hybridMultilevel"/>
    <w:tmpl w:val="352E849C"/>
    <w:lvl w:ilvl="0" w:tplc="3B4424C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8B3635"/>
    <w:multiLevelType w:val="hybridMultilevel"/>
    <w:tmpl w:val="B2FCFE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4916670">
    <w:abstractNumId w:val="5"/>
  </w:num>
  <w:num w:numId="2" w16cid:durableId="478107914">
    <w:abstractNumId w:val="2"/>
  </w:num>
  <w:num w:numId="3" w16cid:durableId="619068929">
    <w:abstractNumId w:val="0"/>
  </w:num>
  <w:num w:numId="4" w16cid:durableId="783812772">
    <w:abstractNumId w:val="3"/>
  </w:num>
  <w:num w:numId="5" w16cid:durableId="1673338980">
    <w:abstractNumId w:val="6"/>
  </w:num>
  <w:num w:numId="6" w16cid:durableId="2124568948">
    <w:abstractNumId w:val="1"/>
  </w:num>
  <w:num w:numId="7" w16cid:durableId="1776318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AA"/>
    <w:rsid w:val="0004177D"/>
    <w:rsid w:val="000441D2"/>
    <w:rsid w:val="000468EB"/>
    <w:rsid w:val="00047781"/>
    <w:rsid w:val="000562E0"/>
    <w:rsid w:val="000905BB"/>
    <w:rsid w:val="000B292F"/>
    <w:rsid w:val="000B71DB"/>
    <w:rsid w:val="000D61D7"/>
    <w:rsid w:val="000F3E98"/>
    <w:rsid w:val="001265AF"/>
    <w:rsid w:val="00135955"/>
    <w:rsid w:val="00136A63"/>
    <w:rsid w:val="001578E6"/>
    <w:rsid w:val="00192650"/>
    <w:rsid w:val="00192742"/>
    <w:rsid w:val="001C45B4"/>
    <w:rsid w:val="002206EF"/>
    <w:rsid w:val="00222B02"/>
    <w:rsid w:val="00246BD3"/>
    <w:rsid w:val="002474C7"/>
    <w:rsid w:val="002528B2"/>
    <w:rsid w:val="0026721D"/>
    <w:rsid w:val="00275CA9"/>
    <w:rsid w:val="0029484E"/>
    <w:rsid w:val="00296487"/>
    <w:rsid w:val="002A3690"/>
    <w:rsid w:val="002B251C"/>
    <w:rsid w:val="002C73A9"/>
    <w:rsid w:val="002D1F5E"/>
    <w:rsid w:val="002E1E42"/>
    <w:rsid w:val="002E6773"/>
    <w:rsid w:val="00310F01"/>
    <w:rsid w:val="00335BC4"/>
    <w:rsid w:val="0034367D"/>
    <w:rsid w:val="003700A8"/>
    <w:rsid w:val="003705FB"/>
    <w:rsid w:val="003B48B6"/>
    <w:rsid w:val="003D4108"/>
    <w:rsid w:val="003E7197"/>
    <w:rsid w:val="003F5CDC"/>
    <w:rsid w:val="00413F20"/>
    <w:rsid w:val="004141FE"/>
    <w:rsid w:val="00416CF7"/>
    <w:rsid w:val="00451519"/>
    <w:rsid w:val="00462B33"/>
    <w:rsid w:val="004632AB"/>
    <w:rsid w:val="004632BF"/>
    <w:rsid w:val="00464332"/>
    <w:rsid w:val="0046502C"/>
    <w:rsid w:val="0047743D"/>
    <w:rsid w:val="00484980"/>
    <w:rsid w:val="0049581E"/>
    <w:rsid w:val="004B2525"/>
    <w:rsid w:val="004C28A1"/>
    <w:rsid w:val="004D63B7"/>
    <w:rsid w:val="0050632E"/>
    <w:rsid w:val="00520279"/>
    <w:rsid w:val="005301BB"/>
    <w:rsid w:val="005A62FD"/>
    <w:rsid w:val="005C18FB"/>
    <w:rsid w:val="005E6060"/>
    <w:rsid w:val="00617112"/>
    <w:rsid w:val="00643786"/>
    <w:rsid w:val="00662308"/>
    <w:rsid w:val="00667E67"/>
    <w:rsid w:val="00670DDA"/>
    <w:rsid w:val="006863E8"/>
    <w:rsid w:val="006A0366"/>
    <w:rsid w:val="006F133D"/>
    <w:rsid w:val="00714A24"/>
    <w:rsid w:val="007175B5"/>
    <w:rsid w:val="007468C3"/>
    <w:rsid w:val="00751BAC"/>
    <w:rsid w:val="00752F9A"/>
    <w:rsid w:val="00762616"/>
    <w:rsid w:val="007638A3"/>
    <w:rsid w:val="00765631"/>
    <w:rsid w:val="00784F92"/>
    <w:rsid w:val="007C7715"/>
    <w:rsid w:val="007E2294"/>
    <w:rsid w:val="007F0DA7"/>
    <w:rsid w:val="007F1D22"/>
    <w:rsid w:val="007F1DEF"/>
    <w:rsid w:val="00826836"/>
    <w:rsid w:val="00840D84"/>
    <w:rsid w:val="008466EC"/>
    <w:rsid w:val="00863D36"/>
    <w:rsid w:val="008848F7"/>
    <w:rsid w:val="008A542A"/>
    <w:rsid w:val="008B4030"/>
    <w:rsid w:val="008D5A6D"/>
    <w:rsid w:val="00915194"/>
    <w:rsid w:val="00915F74"/>
    <w:rsid w:val="009163CB"/>
    <w:rsid w:val="00943F5C"/>
    <w:rsid w:val="00947439"/>
    <w:rsid w:val="0095400B"/>
    <w:rsid w:val="00966E93"/>
    <w:rsid w:val="00970224"/>
    <w:rsid w:val="0097166E"/>
    <w:rsid w:val="009730C2"/>
    <w:rsid w:val="009E7CBC"/>
    <w:rsid w:val="00A07FC5"/>
    <w:rsid w:val="00A55AE9"/>
    <w:rsid w:val="00A60EAA"/>
    <w:rsid w:val="00A6580D"/>
    <w:rsid w:val="00A76CE4"/>
    <w:rsid w:val="00A87F56"/>
    <w:rsid w:val="00AD7F07"/>
    <w:rsid w:val="00AE3C9C"/>
    <w:rsid w:val="00AE4CBE"/>
    <w:rsid w:val="00AF39B3"/>
    <w:rsid w:val="00AF3F4E"/>
    <w:rsid w:val="00AF4406"/>
    <w:rsid w:val="00B07707"/>
    <w:rsid w:val="00B4226B"/>
    <w:rsid w:val="00B46865"/>
    <w:rsid w:val="00B513C9"/>
    <w:rsid w:val="00B54B83"/>
    <w:rsid w:val="00B62BD0"/>
    <w:rsid w:val="00B742A8"/>
    <w:rsid w:val="00B7566D"/>
    <w:rsid w:val="00B96CC8"/>
    <w:rsid w:val="00BA7723"/>
    <w:rsid w:val="00BB13C2"/>
    <w:rsid w:val="00BC1971"/>
    <w:rsid w:val="00BD04DD"/>
    <w:rsid w:val="00C017E4"/>
    <w:rsid w:val="00C10CD2"/>
    <w:rsid w:val="00C1356D"/>
    <w:rsid w:val="00C14040"/>
    <w:rsid w:val="00C15F63"/>
    <w:rsid w:val="00C213A2"/>
    <w:rsid w:val="00C71733"/>
    <w:rsid w:val="00C71E99"/>
    <w:rsid w:val="00C82F4E"/>
    <w:rsid w:val="00CA1EBB"/>
    <w:rsid w:val="00CC6FA0"/>
    <w:rsid w:val="00CC7B31"/>
    <w:rsid w:val="00CD2494"/>
    <w:rsid w:val="00CE68DC"/>
    <w:rsid w:val="00D02641"/>
    <w:rsid w:val="00D24106"/>
    <w:rsid w:val="00D26157"/>
    <w:rsid w:val="00D402F0"/>
    <w:rsid w:val="00D46F79"/>
    <w:rsid w:val="00D572AD"/>
    <w:rsid w:val="00DA3526"/>
    <w:rsid w:val="00DB13DE"/>
    <w:rsid w:val="00DC65EF"/>
    <w:rsid w:val="00E03214"/>
    <w:rsid w:val="00E673D5"/>
    <w:rsid w:val="00EA47FD"/>
    <w:rsid w:val="00EB1643"/>
    <w:rsid w:val="00EC012F"/>
    <w:rsid w:val="00EC2919"/>
    <w:rsid w:val="00EF2358"/>
    <w:rsid w:val="00EF4A9E"/>
    <w:rsid w:val="00F27568"/>
    <w:rsid w:val="00F41B1C"/>
    <w:rsid w:val="00F61127"/>
    <w:rsid w:val="00F61570"/>
    <w:rsid w:val="00F63848"/>
    <w:rsid w:val="00F70C5C"/>
    <w:rsid w:val="00FB35C5"/>
    <w:rsid w:val="00FD0EBF"/>
    <w:rsid w:val="00FD5746"/>
    <w:rsid w:val="00FD7F5E"/>
    <w:rsid w:val="00FE06A4"/>
    <w:rsid w:val="00FF0B74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494C9"/>
  <w15:chartTrackingRefBased/>
  <w15:docId w15:val="{4E584AE3-61F5-4819-A2DE-EDA0609A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E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E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E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E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E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E7CBC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AD7F0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9</Pages>
  <Words>3404</Words>
  <Characters>19405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Воропаев</dc:creator>
  <cp:keywords/>
  <dc:description/>
  <cp:lastModifiedBy>Илья Воропаев</cp:lastModifiedBy>
  <cp:revision>132</cp:revision>
  <cp:lastPrinted>2026-01-11T09:56:00Z</cp:lastPrinted>
  <dcterms:created xsi:type="dcterms:W3CDTF">2026-01-06T20:45:00Z</dcterms:created>
  <dcterms:modified xsi:type="dcterms:W3CDTF">2026-01-11T10:18:00Z</dcterms:modified>
</cp:coreProperties>
</file>