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22"/>
          <w:szCs w:val="22"/>
        </w:rPr>
        <w:t xml:space="preserve">ARC · Initiative A · Design Doc</w:t>
      </w:r>
    </w:p>
    <w:p>
      <w:r>
        <w:rPr>
          <w:b/>
          <w:bCs/>
          <w:color w:val="222222"/>
          <w:sz w:val="32"/>
          <w:szCs w:val="32"/>
        </w:rPr>
        <w:t xml:space="preserve">Exploitation-Request Sandbox — Design &amp; Requirements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A network-contained agent that pulls source from S3, analyses it, and runs code it writes — with no other access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340"/>
        <w:gridCol w:w="6960"/>
      </w:tblGrid>
      <w:tr>
        <w:trPr>
          <w:tblHeader/>
        </w:trPr>
        <w:tc>
          <w:tcPr>
            <w:tcW w:type="dxa" w:w="234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34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69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DRAFT — for review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Author</w:t>
            </w:r>
          </w:p>
        </w:tc>
        <w:tc>
          <w:tcPr>
            <w:tcW w:type="dxa" w:w="69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Iswarya V.</w:t>
            </w:r>
          </w:p>
        </w:tc>
      </w:tr>
      <w:tr>
        <w:tc>
          <w:tcPr>
            <w:tcW w:type="dxa" w:w="234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Reviewers</w:t>
            </w:r>
          </w:p>
        </w:tc>
        <w:tc>
          <w:tcPr>
            <w:tcW w:type="dxa" w:w="69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 (platform / security / cloud)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Version · Date</w:t>
            </w:r>
          </w:p>
        </w:tc>
        <w:tc>
          <w:tcPr>
            <w:tcW w:type="dxa" w:w="69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 · 2026-10-06</w:t>
            </w:r>
          </w:p>
        </w:tc>
      </w:tr>
      <w:tr>
        <w:tc>
          <w:tcPr>
            <w:tcW w:type="dxa" w:w="234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69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Scope</w:t>
            </w:r>
          </w:p>
        </w:tc>
        <w:tc>
          <w:tcPr>
            <w:tcW w:type="dxa" w:w="69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Production design; the POC is Phase 1 (network containment)</w:t>
            </w:r>
          </w:p>
        </w:tc>
      </w:tr>
      <w:tr>
        <w:tc>
          <w:tcPr>
            <w:tcW w:type="dxa" w:w="234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Related</w:t>
            </w:r>
          </w:p>
        </w:tc>
        <w:tc>
          <w:tcPr>
            <w:tcW w:type="dxa" w:w="69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InitiativeA-Fargate-sandbox-arch</w:t>
            </w:r>
            <w:r>
              <w:rPr>
                <w:b w:val="false"/>
                <w:bCs w:val="false"/>
                <w:sz w:val="17"/>
                <w:szCs w:val="17"/>
              </w:rPr>
              <w:t xml:space="preserve"> (diagram)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InitiativeA-compute-options-ec2-vs-ecs</w:t>
            </w:r>
            <w:r>
              <w:rPr>
                <w:b w:val="false"/>
                <w:bCs w:val="false"/>
                <w:sz w:val="17"/>
                <w:szCs w:val="17"/>
              </w:rPr>
              <w:t xml:space="preserve"> (alternatives)</w:t>
            </w:r>
          </w:p>
        </w:tc>
      </w:tr>
    </w:tbl>
    <w:p>
      <w:pPr>
        <w:pBdr>
          <w:bottom w:val="single" w:color="1F4E79" w:sz="8" w:space="2"/>
        </w:pBdr>
        <w:spacing w:after="140" w:before="120"/>
      </w:pPr>
    </w:p>
    <w:p>
      <w:pPr>
        <w:pStyle w:val="Heading1"/>
        <w:spacing w:after="90" w:before="260"/>
      </w:pPr>
      <w:r>
        <w:rPr>
          <w:b/>
          <w:bCs/>
          <w:color w:val="1F4E79"/>
          <w:sz w:val="27"/>
          <w:szCs w:val="27"/>
        </w:rPr>
        <w:t xml:space="preserve">1 · The need, and POC scope</w:t>
      </w:r>
    </w:p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1.1 Production end-state (the final need)</w:t>
      </w:r>
    </w:p>
    <w:p>
      <w:pPr>
        <w:spacing w:after="100"/>
      </w:pPr>
      <w:r>
        <w:rPr>
          <w:sz w:val="20"/>
          <w:szCs w:val="20"/>
        </w:rPr>
        <w:t xml:space="preserve">In production, ARC runs a governed, </w:t>
      </w:r>
      <w:r>
        <w:rPr>
          <w:b/>
          <w:bCs/>
          <w:sz w:val="20"/>
          <w:szCs w:val="20"/>
        </w:rPr>
        <w:t xml:space="preserve">exploitation-request-driven code-analysis sandbox service</w:t>
      </w:r>
      <w:r>
        <w:rPr>
          <w:sz w:val="20"/>
          <w:szCs w:val="20"/>
        </w:rPr>
        <w:t xml:space="preserve">. Exploitation requests arrive; a provisioning service stages the source into S3; and for each request an </w:t>
      </w:r>
      <w:r>
        <w:rPr>
          <w:b/>
          <w:bCs/>
          <w:sz w:val="20"/>
          <w:szCs w:val="20"/>
        </w:rPr>
        <w:t xml:space="preserve">isolated agent run</w:t>
      </w:r>
      <w:r>
        <w:rPr>
          <w:sz w:val="20"/>
          <w:szCs w:val="20"/>
        </w:rPr>
        <w:t xml:space="preserve"> (harness = Google ADK with custom changes; model via Amazon Bedrock, Claude family) analyses the source and runs code it writes — under full governance (per-action authorization, Rules of Engagement, human-in-the-loop where required) — returning results to downstream consumers. It runs </w:t>
      </w:r>
      <w:r>
        <w:rPr>
          <w:b/>
          <w:bCs/>
          <w:sz w:val="20"/>
          <w:szCs w:val="20"/>
        </w:rPr>
        <w:t xml:space="preserve">many concurrent isolated runs at scale</w:t>
      </w:r>
      <w:r>
        <w:rPr>
          <w:sz w:val="20"/>
          <w:szCs w:val="20"/>
        </w:rPr>
        <w:t xml:space="preserve">, with audit, retention and resilience.</w:t>
      </w:r>
    </w:p>
    <w:p>
      <w:pPr>
        <w:spacing w:after="100"/>
      </w:pPr>
      <w:r>
        <w:rPr>
          <w:sz w:val="20"/>
          <w:szCs w:val="20"/>
        </w:rPr>
        <w:t xml:space="preserve">The non-negotiable invariant at every scale is </w:t>
      </w:r>
      <w:r>
        <w:rPr>
          <w:b/>
          <w:bCs/>
          <w:sz w:val="20"/>
          <w:szCs w:val="20"/>
        </w:rPr>
        <w:t xml:space="preserve">network containment</w:t>
      </w:r>
      <w:r>
        <w:rPr>
          <w:sz w:val="20"/>
          <w:szCs w:val="20"/>
        </w:rPr>
        <w:t xml:space="preserve">: each run can reach only its authorised inputs and outputs (its source in S3, the model, its results) and nothing else — no internet, no other AWS, no lateral movement. Claude Code is NOT used on this path. OpenAI models are a possible alternative family — an open question (§8), not committed. Any model route stays in-perimeter (no public API over the internet).</w:t>
      </w:r>
    </w:p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1.2 POC scope — Phase 1 (what we prove first)</w:t>
      </w:r>
    </w:p>
    <w:p>
      <w:pPr>
        <w:spacing w:after="100"/>
      </w:pPr>
      <w:r>
        <w:rPr>
          <w:sz w:val="20"/>
          <w:szCs w:val="20"/>
        </w:rPr>
        <w:t xml:space="preserve">The POC proves the hardest, most load-bearing part of that need: </w:t>
      </w:r>
      <w:r>
        <w:rPr>
          <w:b/>
          <w:bCs/>
          <w:sz w:val="20"/>
          <w:szCs w:val="20"/>
        </w:rPr>
        <w:t xml:space="preserve">network containment of a single run</w:t>
      </w:r>
      <w:r>
        <w:rPr>
          <w:sz w:val="20"/>
          <w:szCs w:val="20"/>
        </w:rPr>
        <w:t xml:space="preserve">, with source pre-placed in S3 and the model via Bedrock. Success = containment (the §9 exit-test), not analysis quality.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In the POC: </w:t>
      </w:r>
      <w:r>
        <w:rPr>
          <w:sz w:val="20"/>
          <w:szCs w:val="20"/>
        </w:rPr>
        <w:t xml:space="preserve">one run at a time, started by a launcher, with the full containment control set (§5.1–5.9). </w:t>
      </w:r>
      <w:r>
        <w:rPr>
          <w:b/>
          <w:bCs/>
          <w:sz w:val="20"/>
          <w:szCs w:val="20"/>
        </w:rPr>
        <w:t xml:space="preserve">Not built in the POC — but specified as production requirements in §5.10: </w:t>
      </w:r>
      <w:r>
        <w:rPr>
          <w:sz w:val="20"/>
          <w:szCs w:val="20"/>
        </w:rPr>
        <w:t xml:space="preserve">the provisioning service, the governance service, HITL, concurrency/scale, request intake, and multi-model. The POC is built forward-compatible (FC1–FC6) so those add on without rework.</w:t>
      </w:r>
    </w:p>
    <w:p>
      <w:pPr>
        <w:pStyle w:val="Heading1"/>
        <w:spacing w:after="90" w:before="260"/>
      </w:pPr>
      <w:r>
        <w:rPr>
          <w:b/>
          <w:bCs/>
          <w:color w:val="1F4E79"/>
          <w:sz w:val="27"/>
          <w:szCs w:val="27"/>
        </w:rPr>
        <w:t xml:space="preserve">2 · Goals and non-goals</w:t>
      </w:r>
    </w:p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Prove an agent can pull source from S3, analyse it, and write + run code with </w:t>
      </w:r>
      <w:r>
        <w:rPr>
          <w:b/>
          <w:bCs/>
          <w:sz w:val="20"/>
          <w:szCs w:val="20"/>
        </w:rPr>
        <w:t xml:space="preserve">zero other network or AWS access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Deployable in our own AWS account, entirely in-perimeter (no internet, Bedrock in-account).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Forward-compatible with the future exploitation-request provisioning flow (§7) at no rework cost.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A repeatable containment exit-test (§9) that a reviewer can run to accept the POC.</w:t>
      </w:r>
    </w:p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Non-goals for the POC (these ARE production requirements — see §5.10)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Per-action governance service, Rules-of-Engagement engine, human-in-the-loop — separate initiatives.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Attacking a live running target (this POC analyses source, it does not exploit a deployed system).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Building the Source-Provisioning Service itself (future — only its seam is designed now).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A console/UI, multi-tenant scale, and analysis-quality tuning.</w:t>
      </w:r>
    </w:p>
    <w:p>
      <w:pPr>
        <w:pStyle w:val="Heading1"/>
        <w:spacing w:after="90" w:before="260"/>
      </w:pPr>
      <w:r>
        <w:rPr>
          <w:b/>
          <w:bCs/>
          <w:color w:val="1F4E79"/>
          <w:sz w:val="27"/>
          <w:szCs w:val="27"/>
        </w:rPr>
        <w:t xml:space="preserve">3 · Architecture</w:t>
      </w:r>
    </w:p>
    <w:p>
      <w:pPr>
        <w:spacing w:after="100"/>
      </w:pPr>
      <w:r>
        <w:rPr>
          <w:sz w:val="20"/>
          <w:szCs w:val="20"/>
        </w:rPr>
        <w:t xml:space="preserve">A launcher (ECS RunTask / Step Functions) starts one ephemeral task per request with the source bucket+prefix. The task runs the agent harness, pulls source via the S3 gateway endpoint, calls the model via the in-account Bedrock interface endpoint, pulls its image via ECR endpoints, writes logs/results — and can reach nothing else. The task is wiped on exit.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Containment principle. </w:t>
      </w:r>
      <w:r>
        <w:rPr>
          <w:sz w:val="20"/>
          <w:szCs w:val="20"/>
        </w:rPr>
        <w:t xml:space="preserve">Deny-by-default by ABSENCE, not filtering: the task runs in private subnets with no internet gateway and no NAT, so there is no route to the internet. The only exit is a small set of scoped VPC endpoints. Three independent walls must all agree before any byte leaves: (a) routing — no internet path; (b) security group — egress only to the endpoints; (c) IAM + endpoint policy — only the specific bucket and model.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540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16"/>
          <w:szCs w:val="16"/>
        </w:rPr>
        <w:t xml:space="preserve">Figure 1 — the sandbox reaches only S3, Bedrock, ECR and Logs via VPC endpoints; everything else has no route. Dashed purple = future source-provisioning (§7).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Growing to production. </w:t>
      </w:r>
      <w:r>
        <w:rPr>
          <w:sz w:val="20"/>
          <w:szCs w:val="20"/>
        </w:rPr>
        <w:t xml:space="preserve">The same contained task is the unit of execution in production. What production adds around it (§5.10) is request intake, the source-provisioning service, the governance service, autoscaling to many concurrent runs, and evidence/result delivery. The task's containment — this diagram — does not change; production is this picture replicated and wrapped, not redesigned.</w:t>
      </w:r>
    </w:p>
    <w:p>
      <w:pPr>
        <w:pStyle w:val="Heading1"/>
        <w:spacing w:after="90" w:before="260"/>
      </w:pPr>
      <w:r>
        <w:rPr>
          <w:b/>
          <w:bCs/>
          <w:color w:val="1F4E79"/>
          <w:sz w:val="27"/>
          <w:szCs w:val="27"/>
        </w:rPr>
        <w:t xml:space="preserve">4 · Alternatives considered</w:t>
      </w:r>
    </w:p>
    <w:p>
      <w:pPr>
        <w:spacing w:after="100"/>
      </w:pPr>
      <w:r>
        <w:rPr>
          <w:sz w:val="20"/>
          <w:szCs w:val="20"/>
        </w:rPr>
        <w:t xml:space="preserve">Summarised here; each locked choice is recorded as an ADR in Appendix A.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100"/>
        <w:gridCol w:w="3630"/>
        <w:gridCol w:w="3630"/>
      </w:tblGrid>
      <w:tr>
        <w:trPr>
          <w:tblHeader/>
        </w:trPr>
        <w:tc>
          <w:tcPr>
            <w:tcW w:type="dxa" w:w="21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363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Options</w:t>
            </w:r>
          </w:p>
        </w:tc>
        <w:tc>
          <w:tcPr>
            <w:tcW w:type="dxa" w:w="363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Choice (ADR)</w:t>
            </w:r>
          </w:p>
        </w:tc>
      </w:tr>
      <w:tr>
        <w:tc>
          <w:tcPr>
            <w:tcW w:type="dxa" w:w="2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Compute</w:t>
            </w:r>
          </w:p>
        </w:tc>
        <w:tc>
          <w:tcPr>
            <w:tcW w:type="dxa" w:w="363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EC2 single-run vs ECS Fargate</w:t>
            </w:r>
          </w:p>
        </w:tc>
        <w:tc>
          <w:tcPr>
            <w:tcW w:type="dxa" w:w="363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Fargate — no host to patch, per-task microVM, auto-cleanup (ADR-001)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Model access</w:t>
            </w:r>
          </w:p>
        </w:tc>
        <w:tc>
          <w:tcPr>
            <w:tcW w:type="dxa" w:w="363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Bedrock (Claude) — POC · OpenAI models — possible later</w:t>
            </w:r>
          </w:p>
        </w:tc>
        <w:tc>
          <w:tcPr>
            <w:tcW w:type="dxa" w:w="363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Bedrock in-account via interface endpoint for the POC; OpenAI left as an OPEN QUESTION (§8), not decided (ADR-002)</w:t>
            </w:r>
          </w:p>
        </w:tc>
      </w:tr>
      <w:tr>
        <w:tc>
          <w:tcPr>
            <w:tcW w:type="dxa" w:w="2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Containment</w:t>
            </w:r>
          </w:p>
        </w:tc>
        <w:tc>
          <w:tcPr>
            <w:tcW w:type="dxa" w:w="363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Egress proxy/filter vs no-route-by-absence</w:t>
            </w:r>
          </w:p>
        </w:tc>
        <w:tc>
          <w:tcPr>
            <w:tcW w:type="dxa" w:w="363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Absence (no IGW/NAT) as the primary wall, policy as backstop (ADR-003)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Harness</w:t>
            </w:r>
          </w:p>
        </w:tc>
        <w:tc>
          <w:tcPr>
            <w:tcW w:type="dxa" w:w="363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Claude Code vs Google ADK</w:t>
            </w:r>
          </w:p>
        </w:tc>
        <w:tc>
          <w:tcPr>
            <w:tcW w:type="dxa" w:w="363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Google ADK with custom changes — Claude Code not used (ADR-004)</w:t>
            </w:r>
          </w:p>
        </w:tc>
      </w:tr>
      <w:tr>
        <w:tc>
          <w:tcPr>
            <w:tcW w:type="dxa" w:w="21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Source hand-off</w:t>
            </w:r>
          </w:p>
        </w:tc>
        <w:tc>
          <w:tcPr>
            <w:tcW w:type="dxa" w:w="363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Direct SCM pull into task vs S3 seam</w:t>
            </w:r>
          </w:p>
        </w:tc>
        <w:tc>
          <w:tcPr>
            <w:tcW w:type="dxa" w:w="363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S3 bucket as the seam; provisioning stays outside the task (ADR-005)</w:t>
            </w:r>
          </w:p>
        </w:tc>
      </w:tr>
    </w:tbl>
    <w:p>
      <w:pPr>
        <w:pStyle w:val="Heading1"/>
        <w:spacing w:after="90" w:before="260"/>
      </w:pPr>
      <w:r>
        <w:rPr>
          <w:b/>
          <w:bCs/>
          <w:color w:val="1F4E79"/>
          <w:sz w:val="27"/>
          <w:szCs w:val="27"/>
        </w:rPr>
        <w:t xml:space="preserve">5 · Requirements</w:t>
      </w:r>
    </w:p>
    <w:p>
      <w:pPr>
        <w:spacing w:after="100"/>
      </w:pPr>
      <w:r>
        <w:rPr>
          <w:sz w:val="20"/>
          <w:szCs w:val="20"/>
        </w:rPr>
        <w:t xml:space="preserve">MUST / SHOULD = priority. IDs are stable for traceability (§9). </w:t>
      </w:r>
      <w:r>
        <w:rPr>
          <w:b/>
          <w:bCs/>
          <w:sz w:val="20"/>
          <w:szCs w:val="20"/>
        </w:rPr>
        <w:t xml:space="preserve">Phase: </w:t>
      </w:r>
      <w:r>
        <w:rPr>
          <w:sz w:val="20"/>
          <w:szCs w:val="20"/>
        </w:rPr>
        <w:t xml:space="preserve">the containment set (§5.1–5.8) applies in BOTH the POC and production — it is the invariant; §5.9 (FC) is built in the POC to enable production; §5.10 (PR) is production-only, not built in the POC.</w:t>
      </w:r>
    </w:p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5.1 Infrastructure, account &amp; VPC isolation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920"/>
        <w:gridCol w:w="4260"/>
        <w:gridCol w:w="2680"/>
        <w:gridCol w:w="1500"/>
      </w:tblGrid>
      <w:tr>
        <w:trPr>
          <w:tblHeader/>
        </w:trPr>
        <w:tc>
          <w:tcPr>
            <w:tcW w:type="dxa" w:w="92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68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AWS service / mechanism</w:t>
            </w:r>
          </w:p>
        </w:tc>
        <w:tc>
          <w:tcPr>
            <w:tcW w:type="dxa" w:w="15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INF1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Compute: run each sandbox as one ephemeral task per request (AWS-managed Firecracker microVM isolation)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Amazon ECS on Fargate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INF2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Orchestration/launcher: start one task per request with run parameters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ECS RunTask / Step Functions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INF3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Private registry for the agent container image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Amazon ECR (private)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N1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Dedicated sandbox account (or dedicated VPC) separate from production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AWS account / Organizations OU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N2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Private subnets only — NO Internet Gateway, NO NAT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VPC route tables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N3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Task gets NO public IP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assignPublicIp=DISABLED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</w:tbl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5.2 Network egress — the funnel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920"/>
        <w:gridCol w:w="4260"/>
        <w:gridCol w:w="2680"/>
        <w:gridCol w:w="1500"/>
      </w:tblGrid>
      <w:tr>
        <w:trPr>
          <w:tblHeader/>
        </w:trPr>
        <w:tc>
          <w:tcPr>
            <w:tcW w:type="dxa" w:w="92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68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AWS mechanism</w:t>
            </w:r>
          </w:p>
        </w:tc>
        <w:tc>
          <w:tcPr>
            <w:tcW w:type="dxa" w:w="15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N4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SG egress DENY-ALL except 443 to the VPC endpoints / S3 prefix list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Task SG egress rules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N5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Subnet NACL deny-all except endpoint ENIs (static backstop)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Network ACLs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N6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VPC peering / Transit Gateway routes to any other network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Route tables (absence)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N7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Code the agent writes and runs inherits the same deny-all network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Single task network namespace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</w:tbl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5.3 VPC endpoints (only way out) + endpoint policies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920"/>
        <w:gridCol w:w="4260"/>
        <w:gridCol w:w="2680"/>
        <w:gridCol w:w="1500"/>
      </w:tblGrid>
      <w:tr>
        <w:trPr>
          <w:tblHeader/>
        </w:trPr>
        <w:tc>
          <w:tcPr>
            <w:tcW w:type="dxa" w:w="92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68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AWS mechanism</w:t>
            </w:r>
          </w:p>
        </w:tc>
        <w:tc>
          <w:tcPr>
            <w:tcW w:type="dxa" w:w="15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E1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S3 gateway endpoint; policy limited to source bucket (read) + results bucket (write)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S3 Gateway endpoint + policy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E2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In-account Bedrock interface endpoint; policy = InvokeModel on the one model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Interface endpoint (bedrock-runtime)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E3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Image pull via ECR api + dkr endpoints (+ S3 gateway for layers)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ecr.api, ecr.dkr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E4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Logs via CloudWatch Logs interface endpoint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logs endpoint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E5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other interface endpoints present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Endpoint inventory review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E6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Bedrock model access enabled for the model in this account + region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Bedrock console · model access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</w:tbl>
    <w:p>
      <w:pPr>
        <w:spacing w:after="100"/>
      </w:pPr>
      <w:r>
        <w:rPr>
          <w:b/>
          <w:bCs/>
          <w:sz w:val="20"/>
          <w:szCs w:val="20"/>
        </w:rPr>
        <w:t xml:space="preserve">Model family note. </w:t>
      </w:r>
      <w:r>
        <w:rPr>
          <w:sz w:val="20"/>
          <w:szCs w:val="20"/>
        </w:rPr>
        <w:t xml:space="preserve">This POC uses Bedrock (Claude family) via E2. OpenAI models are a possible alternative but are </w:t>
      </w:r>
      <w:r>
        <w:rPr>
          <w:b/>
          <w:bCs/>
          <w:sz w:val="20"/>
          <w:szCs w:val="20"/>
        </w:rPr>
        <w:t xml:space="preserve">an open question (§8), not decided</w:t>
      </w:r>
      <w:r>
        <w:rPr>
          <w:sz w:val="20"/>
          <w:szCs w:val="20"/>
        </w:rPr>
        <w:t xml:space="preserve"> — if ever adopted they would need their own in-perimeter route under the same egress rules (N4), never the public internet, keeping N2 intact. No OpenAI endpoint is required for this POC.</w:t>
      </w:r>
    </w:p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5.4 IAM least privilege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920"/>
        <w:gridCol w:w="4260"/>
        <w:gridCol w:w="2680"/>
        <w:gridCol w:w="1500"/>
      </w:tblGrid>
      <w:tr>
        <w:trPr>
          <w:tblHeader/>
        </w:trPr>
        <w:tc>
          <w:tcPr>
            <w:tcW w:type="dxa" w:w="92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68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AWS mechanism</w:t>
            </w:r>
          </w:p>
        </w:tc>
        <w:tc>
          <w:tcPr>
            <w:tcW w:type="dxa" w:w="15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I1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Task role: s3:GetObject (source prefix) + s3:PutObject (results prefix), ARN-scoped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IAM task role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I2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Task role: bedrock:InvokeModel on one in-account model ARN (no bedrock:*)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IAM task role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I3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Execution role: only ECR pull + logs write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IAM execution role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I4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s3:* , no account-wide perms, no iam:* / ec2:*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Access Analyzer review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I5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Buckets enforce TLS + only the task role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S3 bucket policy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</w:tbl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5.5 Metadata &amp; credential protection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920"/>
        <w:gridCol w:w="4260"/>
        <w:gridCol w:w="2680"/>
        <w:gridCol w:w="1500"/>
      </w:tblGrid>
      <w:tr>
        <w:trPr>
          <w:tblHeader/>
        </w:trPr>
        <w:tc>
          <w:tcPr>
            <w:tcW w:type="dxa" w:w="92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68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AWS mechanism</w:t>
            </w:r>
          </w:p>
        </w:tc>
        <w:tc>
          <w:tcPr>
            <w:tcW w:type="dxa" w:w="15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M1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Verify EC2 IMDS 169.254.169.254 is NOT reachable from the task; block link-local metadata as defense-in-depth. (On Fargate IMDS isn't exposed — this is belt-and-suspenders; the real cred path is M2)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egress deny / verify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M2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Task-role creds reach the task ONLY via the ECS task credential path 169.254.170.2; protect it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Fargate default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M3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long-lived AWS keys in the image or env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Image + task-def review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</w:tbl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5.6 Task / container hardening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920"/>
        <w:gridCol w:w="4260"/>
        <w:gridCol w:w="2680"/>
        <w:gridCol w:w="1500"/>
      </w:tblGrid>
      <w:tr>
        <w:trPr>
          <w:tblHeader/>
        </w:trPr>
        <w:tc>
          <w:tcPr>
            <w:tcW w:type="dxa" w:w="92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68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AWS mechanism</w:t>
            </w:r>
          </w:p>
        </w:tc>
        <w:tc>
          <w:tcPr>
            <w:tcW w:type="dxa" w:w="15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C1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Ephemeral: one run per task; storage discarded on stop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ECS RunTask lifecycle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C2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Read-only root FS + scratch volume for write/run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readonlyRootFilesystem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C3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Non-root; no privileged; drop caps incl. NET_ADMIN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task def linuxParameters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C4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CPU/mem/storage limits + task-level timeout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task sizing + timeout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C5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image from private ECR (scanned), pinned by digest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ECR + digest pin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</w:tbl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5.7 Observability &amp; audit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920"/>
        <w:gridCol w:w="4260"/>
        <w:gridCol w:w="2680"/>
        <w:gridCol w:w="1500"/>
      </w:tblGrid>
      <w:tr>
        <w:trPr>
          <w:tblHeader/>
        </w:trPr>
        <w:tc>
          <w:tcPr>
            <w:tcW w:type="dxa" w:w="92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68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AWS mechanism</w:t>
            </w:r>
          </w:p>
        </w:tc>
        <w:tc>
          <w:tcPr>
            <w:tcW w:type="dxa" w:w="15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O1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VPC Flow Logs — every allowed + denied flow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VPC Flow Logs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O2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CloudTrail S3 data events on source + results buckets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CloudTrail data events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O3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stdout/stderr + transcript to CloudWatch Logs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awslogs driver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O4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Alarm on any denied/blocked egress attempt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Flow Log metric filter; GuardDuty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</w:tbl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5.8 Lifecycle &amp; data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920"/>
        <w:gridCol w:w="4260"/>
        <w:gridCol w:w="2680"/>
        <w:gridCol w:w="1500"/>
      </w:tblGrid>
      <w:tr>
        <w:trPr>
          <w:tblHeader/>
        </w:trPr>
        <w:tc>
          <w:tcPr>
            <w:tcW w:type="dxa" w:w="92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68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AWS mechanism</w:t>
            </w:r>
          </w:p>
        </w:tc>
        <w:tc>
          <w:tcPr>
            <w:tcW w:type="dxa" w:w="15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L1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Launcher starts task with run params (source bucket+prefix, run id)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RunTask / Step Functions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L2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Hard wall-clock timeout; force-stop past it (Fargate has no fixed max — hours OK; on-demand, not Spot)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launcher timeout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L3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On-demand kill path for an in-flight task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StopTask + runbook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D1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Source read-only; results write-only; separate buckets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S3 + bucket policy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D2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KMS-encrypt source/results/logs; task role scoped to the key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SSE-KMS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D3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Results are the only thing that leaves; nothing written back to source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bucket policy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</w:tbl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5.9 Forward-compatibility (build into the POC NOW so the future design in §7 drops in without rework)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920"/>
        <w:gridCol w:w="4260"/>
        <w:gridCol w:w="2680"/>
        <w:gridCol w:w="1500"/>
      </w:tblGrid>
      <w:tr>
        <w:trPr>
          <w:tblHeader/>
        </w:trPr>
        <w:tc>
          <w:tcPr>
            <w:tcW w:type="dxa" w:w="92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68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How enforced</w:t>
            </w:r>
          </w:p>
        </w:tc>
        <w:tc>
          <w:tcPr>
            <w:tcW w:type="dxa" w:w="15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FC1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Source location is a RUNTIME PARAMETER (bucket+prefix), never hardcoded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task overrides via launcher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FC2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Source laid out per-run now: s3://&lt;source-bucket&gt;/&lt;run-id&gt;/… ; sandbox reads only its prefix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S3 key convention + IAM (I1)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FC3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Results keyed by run_id: s3://&lt;results-bucket&gt;/&lt;run-id&gt;/…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S3 key convention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FC4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run_id is THE correlation key across source prefix, results prefix, logs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minted by launcher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FC5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Launcher invocable programmatically / event-driven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RunTask API / EventBridge target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FC6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Nothing in the sandbox assumes WHO placed the source — it only reads S3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design rule (the S3 seam)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</w:tbl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5.10 Production requirements (the end-state — specified now, NOT built in the POC)</w:t>
      </w:r>
    </w:p>
    <w:p>
      <w:pPr>
        <w:spacing w:after="100"/>
      </w:pPr>
      <w:r>
        <w:rPr>
          <w:sz w:val="20"/>
          <w:szCs w:val="20"/>
        </w:rPr>
        <w:t xml:space="preserve">These capture how the sandbox looks in production. They are specified now so the POC is built toward them (via the FC set); none are built in the POC.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920"/>
        <w:gridCol w:w="4260"/>
        <w:gridCol w:w="2680"/>
        <w:gridCol w:w="1500"/>
      </w:tblGrid>
      <w:tr>
        <w:trPr>
          <w:tblHeader/>
        </w:trPr>
        <w:tc>
          <w:tcPr>
            <w:tcW w:type="dxa" w:w="92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Production requirement</w:t>
            </w:r>
          </w:p>
        </w:tc>
        <w:tc>
          <w:tcPr>
            <w:tcW w:type="dxa" w:w="268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 / mechanism</w:t>
            </w:r>
          </w:p>
        </w:tc>
        <w:tc>
          <w:tcPr>
            <w:tcW w:type="dxa" w:w="15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PR1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Concurrency: many isolated requests run in parallel — one Fargate task (microVM) each, no shared state between runs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ECS RunTask fan-out / service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PR2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Request intake: accept exploitation requests via a queue/event bus (dedup, ordering, backpressure) — not manual launch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EventBridge / Kafka / SQS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PR3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Source provisioning: a service stages source into the S3 seam and triggers runs (detail: FR1–FR7, §7)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Source-Provisioning Service (outside the task)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PR4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Governance integration: each run's actions pass per-action authorization + RoE + HITL; the sandbox exposes the hooks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Governance service (separate initiative) · ADK callbacks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PR5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Autoscaling + limits: scale concurrency to demand; per-tenant concurrency caps; global kill-switch + budget caps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ECS autoscaling + control plane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PR6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Resilience: multi-AZ; idempotent retries; graceful task-retirement handling; durable results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multi-AZ subnets + retry design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PR7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Evidence &amp; retention: results/findings persisted with retention / WORM + long-term audit logs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evidence store + log retention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PR8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Result delivery: publish results downstream with request→run→result correlation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event/topic + run_id / request_id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</w:tbl>
    <w:p>
      <w:pPr>
        <w:pStyle w:val="Heading1"/>
        <w:spacing w:after="90" w:before="260"/>
      </w:pPr>
      <w:r>
        <w:rPr>
          <w:b/>
          <w:bCs/>
          <w:color w:val="1F4E79"/>
          <w:sz w:val="27"/>
          <w:szCs w:val="27"/>
        </w:rPr>
        <w:t xml:space="preserve">6 · Cross-cutting concerns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Security. </w:t>
      </w:r>
      <w:r>
        <w:rPr>
          <w:sz w:val="20"/>
          <w:szCs w:val="20"/>
        </w:rPr>
        <w:t xml:space="preserve">Containment by absence (N2) + deny-all egress (N4) + least-privilege IAM (I1–I4) + metadata block (M1). The agent and any code it runs are confined to the task's deny-all network.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Data / privacy. </w:t>
      </w:r>
      <w:r>
        <w:rPr>
          <w:sz w:val="20"/>
          <w:szCs w:val="20"/>
        </w:rPr>
        <w:t xml:space="preserve">Source read-only, results write-only, separate buckets (D1/D3); KMS everywhere (D2); results are the only egress artefact.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Cost. </w:t>
      </w:r>
      <w:r>
        <w:rPr>
          <w:sz w:val="20"/>
          <w:szCs w:val="20"/>
        </w:rPr>
        <w:t xml:space="preserve">Pay-per-task-second; analysis is I/O-bound (waiting on model), so modest CPU suffices. No idle infrastructure (ephemeral tasks).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Observability / audit. </w:t>
      </w:r>
      <w:r>
        <w:rPr>
          <w:sz w:val="20"/>
          <w:szCs w:val="20"/>
        </w:rPr>
        <w:t xml:space="preserve">Flow Logs + CloudTrail data events + CloudWatch transcript (O1–O3); alarm on escape attempts (O4) — a defensible audit trail for a regulated setting.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Operability. </w:t>
      </w:r>
      <w:r>
        <w:rPr>
          <w:sz w:val="20"/>
          <w:szCs w:val="20"/>
        </w:rPr>
        <w:t xml:space="preserve">No host to patch (Fargate); image scanned + digest-pinned (C5); hard timeout + kill path (L2/L3).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Compliance. </w:t>
      </w:r>
      <w:r>
        <w:rPr>
          <w:sz w:val="20"/>
          <w:szCs w:val="20"/>
        </w:rPr>
        <w:t xml:space="preserve">Requirement IDs + the §9 exit-test give traceability auditors can check; dedicated account bounds blast radius (N1).</w:t>
      </w:r>
    </w:p>
    <w:p>
      <w:pPr>
        <w:pStyle w:val="Heading1"/>
        <w:spacing w:after="90" w:before="260"/>
      </w:pPr>
      <w:r>
        <w:rPr>
          <w:b/>
          <w:bCs/>
          <w:color w:val="1F4E79"/>
          <w:sz w:val="27"/>
          <w:szCs w:val="27"/>
        </w:rPr>
        <w:t xml:space="preserve">7 · Future design — exploitation-request-driven source provisioning</w:t>
      </w:r>
    </w:p>
    <w:p>
      <w:pPr>
        <w:spacing w:after="100"/>
      </w:pPr>
      <w:r>
        <w:rPr>
          <w:sz w:val="20"/>
          <w:szCs w:val="20"/>
        </w:rPr>
        <w:t xml:space="preserve">An </w:t>
      </w:r>
      <w:r>
        <w:rPr>
          <w:b/>
          <w:bCs/>
          <w:sz w:val="20"/>
          <w:szCs w:val="20"/>
        </w:rPr>
        <w:t xml:space="preserve">exploitation request</w:t>
      </w:r>
      <w:r>
        <w:rPr>
          <w:sz w:val="20"/>
          <w:szCs w:val="20"/>
        </w:rPr>
        <w:t xml:space="preserve"> (source details — repo/artifact coords, version/commit) arrives; a </w:t>
      </w:r>
      <w:r>
        <w:rPr>
          <w:b/>
          <w:bCs/>
          <w:sz w:val="20"/>
          <w:szCs w:val="20"/>
        </w:rPr>
        <w:t xml:space="preserve">Source-Provisioning Service</w:t>
      </w:r>
      <w:r>
        <w:rPr>
          <w:sz w:val="20"/>
          <w:szCs w:val="20"/>
        </w:rPr>
        <w:t xml:space="preserve"> (OUTSIDE the sandbox, own network to SCM/Artifactory, own scoped perms) pulls source → writes s3://&lt;source-bucket&gt;/&lt;run-id&gt;/ → signals 'source ready' → launcher starts the run. S3 is the seam; the sandbox is unchanged.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920"/>
        <w:gridCol w:w="4260"/>
        <w:gridCol w:w="2680"/>
        <w:gridCol w:w="1500"/>
      </w:tblGrid>
      <w:tr>
        <w:trPr>
          <w:tblHeader/>
        </w:trPr>
        <w:tc>
          <w:tcPr>
            <w:tcW w:type="dxa" w:w="92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Future requirement</w:t>
            </w:r>
          </w:p>
        </w:tc>
        <w:tc>
          <w:tcPr>
            <w:tcW w:type="dxa" w:w="268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 / mechanism</w:t>
            </w:r>
          </w:p>
        </w:tc>
        <w:tc>
          <w:tcPr>
            <w:tcW w:type="dxa" w:w="15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FR1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Define request contract {request_id, source:{type,coords,version}, target_metadata, roe_ref?}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JSON Schema (contract-first)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FR2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Provisioning service resolves request → writes source to the per-run prefix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new service, outside sandbox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FR3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Service: SCM/Artifactory network + write-only to source prefix; no results read; not in the task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own IAM role + SG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FR4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'Source ready' signal triggers the launcher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S3 event / EventBridge / API → FC5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B0002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FR5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Idempotency: one request_id → one bundle → one run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dedup on request_id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92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FR6</w:t>
            </w:r>
          </w:p>
        </w:tc>
        <w:tc>
          <w:tcPr>
            <w:tcW w:type="dxa" w:w="42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Provenance: request_id + source version → run_id linkage</w:t>
            </w:r>
          </w:p>
        </w:tc>
        <w:tc>
          <w:tcPr>
            <w:tcW w:type="dxa" w:w="268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 metadata + CloudTrail</w:t>
            </w:r>
          </w:p>
        </w:tc>
        <w:tc>
          <w:tcPr>
            <w:tcW w:type="dxa" w:w="15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92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FR7</w:t>
            </w:r>
          </w:p>
        </w:tc>
        <w:tc>
          <w:tcPr>
            <w:tcW w:type="dxa" w:w="42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Producer swap (S3 → Artifactory/SCM) normalised into the same S3 seam</w:t>
            </w:r>
          </w:p>
        </w:tc>
        <w:tc>
          <w:tcPr>
            <w:tcW w:type="dxa" w:w="268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provisioning adapter</w:t>
            </w:r>
          </w:p>
        </w:tc>
        <w:tc>
          <w:tcPr>
            <w:tcW w:type="dxa" w:w="15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E65100"/>
                <w:sz w:val="17"/>
                <w:szCs w:val="17"/>
              </w:rPr>
              <w:t xml:space="preserve">SHOULD</w:t>
            </w:r>
          </w:p>
        </w:tc>
      </w:tr>
    </w:tbl>
    <w:p>
      <w:pPr>
        <w:spacing w:after="100"/>
      </w:pPr>
      <w:r>
        <w:rPr>
          <w:i/>
          <w:iCs/>
          <w:sz w:val="20"/>
          <w:szCs w:val="20"/>
        </w:rPr>
        <w:t xml:space="preserve">FR1–FR7 land cleanly only because the POC satisfies FC1–FC6 (§5.9). Build the FC set now and the future service is additive, not a rewrite.</w:t>
      </w:r>
    </w:p>
    <w:p>
      <w:pPr>
        <w:pStyle w:val="Heading1"/>
        <w:spacing w:after="90" w:before="260"/>
      </w:pPr>
      <w:r>
        <w:rPr>
          <w:b/>
          <w:bCs/>
          <w:color w:val="1F4E79"/>
          <w:sz w:val="27"/>
          <w:szCs w:val="27"/>
        </w:rPr>
        <w:t xml:space="preserve">8 · Risks &amp; open questions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7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 / resolution needed</w:t>
            </w:r>
          </w:p>
        </w:tc>
      </w:tr>
      <w:tr>
        <w:tc>
          <w:tcPr>
            <w:tcW w:type="dxa" w:w="26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Results destination</w:t>
            </w:r>
          </w:p>
        </w:tc>
        <w:tc>
          <w:tcPr>
            <w:tcW w:type="dxa" w:w="67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Assumed a separate write-only S3 results bucket — confirm with stakeholders.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Dedicated account</w:t>
            </w:r>
          </w:p>
        </w:tc>
        <w:tc>
          <w:tcPr>
            <w:tcW w:type="dxa" w:w="67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Assumed a dedicated sandbox account (or VPC) — confirm it is provisioned.</w:t>
            </w:r>
          </w:p>
        </w:tc>
      </w:tr>
      <w:tr>
        <w:tc>
          <w:tcPr>
            <w:tcW w:type="dxa" w:w="26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Bedrock model access</w:t>
            </w:r>
          </w:p>
        </w:tc>
        <w:tc>
          <w:tcPr>
            <w:tcW w:type="dxa" w:w="67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Must be enabled for the specific model in-region (E6) or InvokeModel fails even with correct IAM.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OpenAI models (OPEN)</w:t>
            </w:r>
          </w:p>
        </w:tc>
        <w:tc>
          <w:tcPr>
            <w:tcW w:type="dxa" w:w="67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to also support OpenAI models, and if so how to reach them in-perimeter (Azure OpenAI in-account? internal gateway?). Out of scope for this POC — Bedrock is the POC route.</w:t>
            </w:r>
          </w:p>
        </w:tc>
      </w:tr>
      <w:tr>
        <w:tc>
          <w:tcPr>
            <w:tcW w:type="dxa" w:w="26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Fargate limits</w:t>
            </w:r>
          </w:p>
        </w:tc>
        <w:tc>
          <w:tcPr>
            <w:tcW w:type="dxa" w:w="67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Verify current vCPU/mem/ephemeral ceilings + Spot behaviour against AWS docs; on-demand only for long runs.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TLS-inspected egress</w:t>
            </w:r>
          </w:p>
        </w:tc>
        <w:tc>
          <w:tcPr>
            <w:tcW w:type="dxa" w:w="67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Endpoint policies gate destination + API, not payload; acceptable for this POC (no live target).</w:t>
            </w:r>
          </w:p>
        </w:tc>
      </w:tr>
    </w:tbl>
    <w:p>
      <w:pPr>
        <w:pStyle w:val="Heading1"/>
        <w:spacing w:after="90" w:before="260"/>
      </w:pPr>
      <w:r>
        <w:rPr>
          <w:b/>
          <w:bCs/>
          <w:color w:val="1F4E79"/>
          <w:sz w:val="27"/>
          <w:szCs w:val="27"/>
        </w:rPr>
        <w:t xml:space="preserve">9 · Acceptance — containment exit-test (with traceability)</w:t>
      </w:r>
    </w:p>
    <w:p>
      <w:pPr>
        <w:spacing w:after="100"/>
      </w:pPr>
      <w:r>
        <w:rPr>
          <w:sz w:val="20"/>
          <w:szCs w:val="20"/>
        </w:rPr>
        <w:t xml:space="preserve">The POC is accepted when all of the following pass. Each test cites the requirement IDs it verifies.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5560"/>
        <w:gridCol w:w="3800"/>
      </w:tblGrid>
      <w:tr>
        <w:trPr>
          <w:tblHeader/>
        </w:trPr>
        <w:tc>
          <w:tcPr>
            <w:tcW w:type="dxa" w:w="556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3800"/>
            <w:shd w:fill="1F4E7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Verifies</w:t>
            </w:r>
          </w:p>
        </w:tc>
      </w:tr>
      <w:tr>
        <w:tc>
          <w:tcPr>
            <w:tcW w:type="dxa" w:w="55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From inside the task, reaching the internet, a second S3 bucket, another AWS service, and 169.254.169.254 all FAIL</w:t>
            </w:r>
          </w:p>
        </w:tc>
        <w:tc>
          <w:tcPr>
            <w:tcW w:type="dxa" w:w="38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N2·N4·N6·E5·I4·M1</w:t>
            </w:r>
          </w:p>
        </w:tc>
      </w:tr>
      <w:tr>
        <w:tc>
          <w:tcPr>
            <w:tcW w:type="dxa" w:w="55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Pulling the authorized source prefix and calling the one model SUCCEED</w:t>
            </w:r>
          </w:p>
        </w:tc>
        <w:tc>
          <w:tcPr>
            <w:tcW w:type="dxa" w:w="38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E1·E2·E6·I1·I2·FC2</w:t>
            </w:r>
          </w:p>
        </w:tc>
      </w:tr>
      <w:tr>
        <w:tc>
          <w:tcPr>
            <w:tcW w:type="dxa" w:w="55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VPC Flow Logs show the denied attempts and the alarm fires</w:t>
            </w:r>
          </w:p>
        </w:tc>
        <w:tc>
          <w:tcPr>
            <w:tcW w:type="dxa" w:w="38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O1·O4</w:t>
            </w:r>
          </w:p>
        </w:tc>
      </w:tr>
      <w:tr>
        <w:tc>
          <w:tcPr>
            <w:tcW w:type="dxa" w:w="556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Task stops and ephemeral storage is gone after the run; results only in the results bucket</w:t>
            </w:r>
          </w:p>
        </w:tc>
        <w:tc>
          <w:tcPr>
            <w:tcW w:type="dxa" w:w="3800"/>
            <w:shd w:fill="F2F2F2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C1·D1·D3</w:t>
            </w:r>
          </w:p>
        </w:tc>
      </w:tr>
      <w:tr>
        <w:tc>
          <w:tcPr>
            <w:tcW w:type="dxa" w:w="556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Results and logs are keyed by run_id end-to-end</w:t>
            </w:r>
          </w:p>
        </w:tc>
        <w:tc>
          <w:tcPr>
            <w:tcW w:type="dxa" w:w="38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FC3·FC4</w:t>
            </w:r>
          </w:p>
        </w:tc>
      </w:tr>
    </w:tbl>
    <w:p>
      <w:pPr>
        <w:pStyle w:val="Heading1"/>
        <w:spacing w:after="90" w:before="260"/>
      </w:pPr>
      <w:r>
        <w:rPr>
          <w:b/>
          <w:bCs/>
          <w:color w:val="1F4E79"/>
          <w:sz w:val="27"/>
          <w:szCs w:val="27"/>
        </w:rPr>
        <w:t xml:space="preserve">Appendix A · Architecture Decision Records</w:t>
      </w:r>
    </w:p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ADR-001 — Compute = Amazon ECS on Fargate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Accepted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Context: </w:t>
      </w:r>
      <w:r>
        <w:rPr>
          <w:sz w:val="20"/>
          <w:szCs w:val="20"/>
        </w:rPr>
        <w:t xml:space="preserve">The sandbox needs per-run isolation with minimal ops. Options were EC2 single-run (full control, you patch the host) and Fargate (AWS-managed, per-task Firecracker microVM).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Decision: </w:t>
      </w:r>
      <w:r>
        <w:rPr>
          <w:sz w:val="20"/>
          <w:szCs w:val="20"/>
        </w:rPr>
        <w:t xml:space="preserve">Run each sandbox as one ephemeral Fargate task.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Consequences: </w:t>
      </w:r>
      <w:r>
        <w:rPr>
          <w:sz w:val="20"/>
          <w:szCs w:val="20"/>
        </w:rPr>
        <w:t xml:space="preserve">No host to patch; cleaner metadata story (block IMDS); auto-cleanup; fast start. Trade-off: resource ceilings and no nested virtualisation — acceptable for source analysis. Hours-long runs are fine (no fixed max; on-demand, not Spot).</w:t>
      </w:r>
    </w:p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ADR-002 — Model access = Bedrock (Claude) for the POC; OpenAI open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Accepted (POC) · OpenAI OPEN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Context: </w:t>
      </w:r>
      <w:r>
        <w:rPr>
          <w:sz w:val="20"/>
          <w:szCs w:val="20"/>
        </w:rPr>
        <w:t xml:space="preserve">The agent must call a model without opening internet egress (which would break containment). Bedrock (Claude family) is available in-account. OpenAI models are a possible alternative but the route is not yet decided.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Decision: </w:t>
      </w:r>
      <w:r>
        <w:rPr>
          <w:sz w:val="20"/>
          <w:szCs w:val="20"/>
        </w:rPr>
        <w:t xml:space="preserve">Use Bedrock in-account via the bedrock-runtime interface endpoint for this POC (Claude family), IAM scoped to one model ARN. OpenAI is left as an OPEN QUESTION (§8) — not decided; if ever adopted it must be reached by its own in-perimeter route under the same egress rules.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Consequences: </w:t>
      </w:r>
      <w:r>
        <w:rPr>
          <w:sz w:val="20"/>
          <w:szCs w:val="20"/>
        </w:rPr>
        <w:t xml:space="preserve">Keeps 'no internet route' intact. No OpenAI endpoint is built for this POC. Note: in-account does not make Bedrock private by itself — the interface endpoint is still required, and model access must be enabled in-region (E6).</w:t>
      </w:r>
    </w:p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ADR-003 — Containment by absence, not by filter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Accepted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Context: </w:t>
      </w:r>
      <w:r>
        <w:rPr>
          <w:sz w:val="20"/>
          <w:szCs w:val="20"/>
        </w:rPr>
        <w:t xml:space="preserve">An agent may try to reach the internet, metadata, or other networks. A proxy/filter can be bypassed or mis-scoped.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Decision: </w:t>
      </w:r>
      <w:r>
        <w:rPr>
          <w:sz w:val="20"/>
          <w:szCs w:val="20"/>
        </w:rPr>
        <w:t xml:space="preserve">Make containment structural: private subnets with no IGW and no NAT, so no internet route exists; SG + endpoint/IAM policy are backstops.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Consequences: </w:t>
      </w:r>
      <w:r>
        <w:rPr>
          <w:sz w:val="20"/>
          <w:szCs w:val="20"/>
        </w:rPr>
        <w:t xml:space="preserve">Strongest, easiest-to-audit control (there is simply nowhere to go). Requires VPC endpoints for every legitimate destination.</w:t>
      </w:r>
    </w:p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ADR-004 — Harness = Google ADK with custom changes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Accepted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Context: </w:t>
      </w:r>
      <w:r>
        <w:rPr>
          <w:sz w:val="20"/>
          <w:szCs w:val="20"/>
        </w:rPr>
        <w:t xml:space="preserve">The craft team uses Claude Code, but the exploit-request path should not use it.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Decision: </w:t>
      </w:r>
      <w:r>
        <w:rPr>
          <w:sz w:val="20"/>
          <w:szCs w:val="20"/>
        </w:rPr>
        <w:t xml:space="preserve">Use Google ADK with custom changes as the agent harness; Claude Code is not used on the exploit-request path.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Consequences: </w:t>
      </w:r>
      <w:r>
        <w:rPr>
          <w:sz w:val="20"/>
          <w:szCs w:val="20"/>
        </w:rPr>
        <w:t xml:space="preserve">The containment design stays harness-agnostic, so the requirements hold regardless. ADK's callbacks (before/after model + tool) are a natural fit for later governance hooks.</w:t>
      </w:r>
    </w:p>
    <w:p>
      <w:pPr>
        <w:pStyle w:val="Heading2"/>
        <w:spacing w:after="70" w:before="160"/>
      </w:pPr>
      <w:r>
        <w:rPr>
          <w:b/>
          <w:bCs/>
          <w:color w:val="2E5E8C"/>
          <w:sz w:val="22"/>
          <w:szCs w:val="22"/>
        </w:rPr>
        <w:t xml:space="preserve">ADR-005 — S3 is the source/results seam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Accepted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Context: </w:t>
      </w:r>
      <w:r>
        <w:rPr>
          <w:sz w:val="20"/>
          <w:szCs w:val="20"/>
        </w:rPr>
        <w:t xml:space="preserve">Today source is placed in S3 by hand; in future a service will provision it. The sandbox should not care who places it.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Decision: </w:t>
      </w:r>
      <w:r>
        <w:rPr>
          <w:sz w:val="20"/>
          <w:szCs w:val="20"/>
        </w:rPr>
        <w:t xml:space="preserve">Make the S3 source bucket the contract (seam); the sandbox only reads S3. Provisioning stays outside the task (§7).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Consequences: </w:t>
      </w:r>
      <w:r>
        <w:rPr>
          <w:sz w:val="20"/>
          <w:szCs w:val="20"/>
        </w:rPr>
        <w:t xml:space="preserve">The future provisioning service is additive, not a rewrite (FC1–FC6). Producer can later shift from S3 to SCM/Artifactory behind the same seam.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60"/>
      <w:outlineLvl w:val="0"/>
    </w:pPr>
    <w:rPr>
      <w:b/>
      <w:bCs/>
      <w:color w:val="1F4E79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b/>
      <w:bCs/>
      <w:color w:val="2E5E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b2d47caf30bcb1a9e648baed6cb7306e1e979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2026-10-06T23:15:51.556Z</dcterms:created>
  <dcterms:modified xsi:type="dcterms:W3CDTF">2026-10-06T23:15:51.557Z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