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color w:val="1F4E79"/>
          <w:sz w:val="19"/>
          <w:szCs w:val="19"/>
        </w:rPr>
        <w:t xml:space="preserve">Use Case 3 of 3 · Capability Definition (technology-agnostic)</w:t>
      </w:r>
    </w:p>
    <w:p>
      <w:r>
        <w:rPr>
          <w:b/>
          <w:bCs/>
          <w:color w:val="222222"/>
          <w:sz w:val="32"/>
          <w:szCs w:val="32"/>
        </w:rPr>
        <w:t xml:space="preserve">Human Steer</w:t>
      </w:r>
    </w:p>
    <w:p>
      <w:pPr>
        <w:spacing w:after="120"/>
      </w:pPr>
      <w:r>
        <w:rPr>
          <w:i/>
          <w:iCs/>
          <w:color w:val="666666"/>
          <w:sz w:val="20"/>
          <w:szCs w:val="20"/>
        </w:rPr>
        <w:t xml:space="preserve">A place where people watch, guide, step into, and sign off on the automated work — across both the exploitation requests and the pen-testing runs.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300"/>
        <w:gridCol w:w="7060"/>
      </w:tblGrid>
      <w:tr>
        <w:tc>
          <w:tcPr>
            <w:tcW w:type="dxa" w:w="2300"/>
            <w:tcMar>
              <w:top w:type="dxa" w:w="40"/>
              <w:left w:type="dxa" w:w="90"/>
              <w:bottom w:type="dxa" w:w="40"/>
              <w:right w:type="dxa" w:w="90"/>
            </w:tcMar>
          </w:tcPr>
          <w:p>
            <w:r>
              <w:rPr>
                <w:b/>
                <w:bCs/>
                <w:sz w:val="18"/>
                <w:szCs w:val="18"/>
              </w:rPr>
              <w:t xml:space="preserve">Status</w:t>
            </w:r>
          </w:p>
        </w:tc>
        <w:tc>
          <w:tcPr>
            <w:tcW w:type="dxa" w:w="7060"/>
            <w:tcMar>
              <w:top w:type="dxa" w:w="40"/>
              <w:left w:type="dxa" w:w="90"/>
              <w:bottom w:type="dxa" w:w="40"/>
              <w:right w:type="dxa" w:w="90"/>
            </w:tcMar>
          </w:tcPr>
          <w:p>
            <w:r>
              <w:rPr>
                <w:b w:val="false"/>
                <w:bCs w:val="false"/>
                <w:sz w:val="18"/>
                <w:szCs w:val="18"/>
              </w:rPr>
              <w:t xml:space="preserve">DRAFT — for alignment</w:t>
            </w:r>
          </w:p>
        </w:tc>
      </w:tr>
      <w:tr>
        <w:tc>
          <w:tcPr>
            <w:tcW w:type="dxa" w:w="2300"/>
            <w:shd w:fill="F2F2F2" w:color="auto" w:val="clear"/>
            <w:tcMar>
              <w:top w:type="dxa" w:w="40"/>
              <w:left w:type="dxa" w:w="90"/>
              <w:bottom w:type="dxa" w:w="40"/>
              <w:right w:type="dxa" w:w="90"/>
            </w:tcMar>
          </w:tcPr>
          <w:p>
            <w:r>
              <w:rPr>
                <w:b/>
                <w:bCs/>
                <w:sz w:val="18"/>
                <w:szCs w:val="18"/>
              </w:rPr>
              <w:t xml:space="preserve">Author</w:t>
            </w:r>
          </w:p>
        </w:tc>
        <w:tc>
          <w:tcPr>
            <w:tcW w:type="dxa" w:w="7060"/>
            <w:shd w:fill="F2F2F2" w:color="auto" w:val="clear"/>
            <w:tcMar>
              <w:top w:type="dxa" w:w="40"/>
              <w:left w:type="dxa" w:w="90"/>
              <w:bottom w:type="dxa" w:w="40"/>
              <w:right w:type="dxa" w:w="90"/>
            </w:tcMar>
          </w:tcPr>
          <w:p>
            <w:r>
              <w:rPr>
                <w:b w:val="false"/>
                <w:bCs w:val="false"/>
                <w:sz w:val="18"/>
                <w:szCs w:val="18"/>
              </w:rPr>
              <w:t xml:space="preserve">Iswarya V.</w:t>
            </w:r>
          </w:p>
        </w:tc>
      </w:tr>
      <w:tr>
        <w:tc>
          <w:tcPr>
            <w:tcW w:type="dxa" w:w="2300"/>
            <w:tcMar>
              <w:top w:type="dxa" w:w="40"/>
              <w:left w:type="dxa" w:w="90"/>
              <w:bottom w:type="dxa" w:w="40"/>
              <w:right w:type="dxa" w:w="90"/>
            </w:tcMar>
          </w:tcPr>
          <w:p>
            <w:r>
              <w:rPr>
                <w:b/>
                <w:bCs/>
                <w:sz w:val="18"/>
                <w:szCs w:val="18"/>
              </w:rPr>
              <w:t xml:space="preserve">Date</w:t>
            </w:r>
          </w:p>
        </w:tc>
        <w:tc>
          <w:tcPr>
            <w:tcW w:type="dxa" w:w="7060"/>
            <w:tcMar>
              <w:top w:type="dxa" w:w="40"/>
              <w:left w:type="dxa" w:w="90"/>
              <w:bottom w:type="dxa" w:w="40"/>
              <w:right w:type="dxa" w:w="90"/>
            </w:tcMar>
          </w:tcPr>
          <w:p>
            <w:r>
              <w:rPr>
                <w:b w:val="false"/>
                <w:bCs w:val="false"/>
                <w:sz w:val="18"/>
                <w:szCs w:val="18"/>
              </w:rPr>
              <w:t xml:space="preserve">2026-10-08</w:t>
            </w:r>
          </w:p>
        </w:tc>
      </w:tr>
      <w:tr>
        <w:tc>
          <w:tcPr>
            <w:tcW w:type="dxa" w:w="2300"/>
            <w:shd w:fill="F2F2F2" w:color="auto" w:val="clear"/>
            <w:tcMar>
              <w:top w:type="dxa" w:w="40"/>
              <w:left w:type="dxa" w:w="90"/>
              <w:bottom w:type="dxa" w:w="40"/>
              <w:right w:type="dxa" w:w="90"/>
            </w:tcMar>
          </w:tcPr>
          <w:p>
            <w:r>
              <w:rPr>
                <w:b/>
                <w:bCs/>
                <w:sz w:val="18"/>
                <w:szCs w:val="18"/>
              </w:rPr>
              <w:t xml:space="preserve">Classification</w:t>
            </w:r>
          </w:p>
        </w:tc>
        <w:tc>
          <w:tcPr>
            <w:tcW w:type="dxa" w:w="7060"/>
            <w:shd w:fill="F2F2F2" w:color="auto" w:val="clear"/>
            <w:tcMar>
              <w:top w:type="dxa" w:w="40"/>
              <w:left w:type="dxa" w:w="90"/>
              <w:bottom w:type="dxa" w:w="40"/>
              <w:right w:type="dxa" w:w="90"/>
            </w:tcMar>
          </w:tcPr>
          <w:p>
            <w:r>
              <w:rPr>
                <w:b w:val="false"/>
                <w:bCs w:val="false"/>
                <w:sz w:val="18"/>
                <w:szCs w:val="18"/>
              </w:rPr>
              <w:t xml:space="preserve">Internal</w:t>
            </w:r>
          </w:p>
        </w:tc>
      </w:tr>
      <w:tr>
        <w:tc>
          <w:tcPr>
            <w:tcW w:type="dxa" w:w="2300"/>
            <w:tcMar>
              <w:top w:type="dxa" w:w="40"/>
              <w:left w:type="dxa" w:w="90"/>
              <w:bottom w:type="dxa" w:w="40"/>
              <w:right w:type="dxa" w:w="90"/>
            </w:tcMar>
          </w:tcPr>
          <w:p>
            <w:r>
              <w:rPr>
                <w:b/>
                <w:bCs/>
                <w:sz w:val="18"/>
                <w:szCs w:val="18"/>
              </w:rPr>
              <w:t xml:space="preserve">Scope</w:t>
            </w:r>
          </w:p>
        </w:tc>
        <w:tc>
          <w:tcPr>
            <w:tcW w:type="dxa" w:w="7060"/>
            <w:tcMar>
              <w:top w:type="dxa" w:w="40"/>
              <w:left w:type="dxa" w:w="90"/>
              <w:bottom w:type="dxa" w:w="40"/>
              <w:right w:type="dxa" w:w="90"/>
            </w:tcMar>
          </w:tcPr>
          <w:p>
            <w:r>
              <w:rPr>
                <w:b w:val="false"/>
                <w:bCs w:val="false"/>
                <w:sz w:val="18"/>
                <w:szCs w:val="18"/>
              </w:rPr>
              <w:t xml:space="preserve">Describes WHAT the capability does and needs. No technology, product, or tool named — chosen later.</w:t>
            </w:r>
          </w:p>
        </w:tc>
      </w:tr>
    </w:tbl>
    <w:p>
      <w:pPr>
        <w:pBdr>
          <w:bottom w:val="single" w:color="1F4E79" w:sz="8" w:space="2"/>
        </w:pBdr>
        <w:spacing w:after="140" w:before="120"/>
      </w:pPr>
    </w:p>
    <w:p>
      <w:pPr>
        <w:pStyle w:val="Heading2"/>
        <w:spacing w:after="60" w:before="180"/>
      </w:pPr>
      <w:r>
        <w:rPr>
          <w:b/>
          <w:bCs/>
          <w:color w:val="2E5E8C"/>
          <w:sz w:val="21"/>
          <w:szCs w:val="21"/>
        </w:rPr>
        <w:t xml:space="preserve">What it is</w:t>
      </w:r>
    </w:p>
    <w:p>
      <w:pPr>
        <w:spacing w:after="100"/>
      </w:pPr>
      <w:r>
        <w:rPr>
          <w:sz w:val="20"/>
          <w:szCs w:val="20"/>
        </w:rPr>
        <w:t xml:space="preserve">The </w:t>
      </w:r>
      <w:r>
        <w:rPr>
          <w:b/>
          <w:bCs/>
          <w:sz w:val="20"/>
          <w:szCs w:val="20"/>
        </w:rPr>
        <w:t xml:space="preserve">human steer</w:t>
      </w:r>
      <w:r>
        <w:rPr>
          <w:sz w:val="20"/>
          <w:szCs w:val="20"/>
        </w:rPr>
        <w:t xml:space="preserve"> is the cockpit for the people working alongside the automation. It is where a person submits work, sees what the machine is doing in real time, can take the wheel when judgement is needed, approves the risky moves, and signs off on the results. It ranges from simply watching to full hands-on control.</w:t>
      </w:r>
    </w:p>
    <w:p>
      <w:pPr>
        <w:pStyle w:val="Heading2"/>
        <w:spacing w:after="60" w:before="180"/>
      </w:pPr>
      <w:r>
        <w:rPr>
          <w:b/>
          <w:bCs/>
          <w:color w:val="2E5E8C"/>
          <w:sz w:val="21"/>
          <w:szCs w:val="21"/>
        </w:rPr>
        <w:t xml:space="preserve">Its nature</w:t>
      </w:r>
    </w:p>
    <w:p>
      <w:pPr>
        <w:pStyle w:val="ListParagraph"/>
        <w:numPr>
          <w:ilvl w:val="0"/>
          <w:numId w:val="2"/>
        </w:numPr>
        <w:spacing w:after="55"/>
      </w:pPr>
      <w:r>
        <w:rPr>
          <w:b/>
          <w:bCs/>
          <w:sz w:val="20"/>
          <w:szCs w:val="20"/>
        </w:rPr>
        <w:t xml:space="preserve">Always a clear view.</w:t>
      </w:r>
      <w:r>
        <w:rPr>
          <w:sz w:val="20"/>
          <w:szCs w:val="20"/>
        </w:rPr>
        <w:t xml:space="preserve"> What the automation is doing, and why, is visible in plain language as it happens.</w:t>
      </w:r>
    </w:p>
    <w:p>
      <w:pPr>
        <w:pStyle w:val="ListParagraph"/>
        <w:numPr>
          <w:ilvl w:val="0"/>
          <w:numId w:val="2"/>
        </w:numPr>
        <w:spacing w:after="55"/>
      </w:pPr>
      <w:r>
        <w:rPr>
          <w:b/>
          <w:bCs/>
          <w:sz w:val="20"/>
          <w:szCs w:val="20"/>
        </w:rPr>
        <w:t xml:space="preserve">Control when it matters.</w:t>
      </w:r>
      <w:r>
        <w:rPr>
          <w:sz w:val="20"/>
          <w:szCs w:val="20"/>
        </w:rPr>
        <w:t xml:space="preserve"> A person can nudge, correct, pause, take over, or stop — at any point.</w:t>
      </w:r>
    </w:p>
    <w:p>
      <w:pPr>
        <w:pStyle w:val="ListParagraph"/>
        <w:numPr>
          <w:ilvl w:val="0"/>
          <w:numId w:val="2"/>
        </w:numPr>
        <w:spacing w:after="55"/>
      </w:pPr>
      <w:r>
        <w:rPr>
          <w:b/>
          <w:bCs/>
          <w:sz w:val="20"/>
          <w:szCs w:val="20"/>
        </w:rPr>
        <w:t xml:space="preserve">Right person, right power.</w:t>
      </w:r>
      <w:r>
        <w:rPr>
          <w:sz w:val="20"/>
          <w:szCs w:val="20"/>
        </w:rPr>
        <w:t xml:space="preserve"> What someone can see and do depends on their role.</w:t>
      </w:r>
    </w:p>
    <w:p>
      <w:pPr>
        <w:pStyle w:val="ListParagraph"/>
        <w:numPr>
          <w:ilvl w:val="0"/>
          <w:numId w:val="2"/>
        </w:numPr>
        <w:spacing w:after="55"/>
      </w:pPr>
      <w:r>
        <w:rPr>
          <w:b/>
          <w:bCs/>
          <w:sz w:val="20"/>
          <w:szCs w:val="20"/>
        </w:rPr>
        <w:t xml:space="preserve">Everything recorded.</w:t>
      </w:r>
      <w:r>
        <w:rPr>
          <w:sz w:val="20"/>
          <w:szCs w:val="20"/>
        </w:rPr>
        <w:t xml:space="preserve"> Every human decision is logged against the run, the same as the machine's actions.</w:t>
      </w:r>
    </w:p>
    <w:p>
      <w:pPr>
        <w:pStyle w:val="Heading2"/>
        <w:spacing w:after="60" w:before="180"/>
      </w:pPr>
      <w:r>
        <w:rPr>
          <w:b/>
          <w:bCs/>
          <w:color w:val="2E5E8C"/>
          <w:sz w:val="21"/>
          <w:szCs w:val="21"/>
        </w:rPr>
        <w:t xml:space="preserve">What a person can do</w:t>
      </w:r>
    </w:p>
    <w:p>
      <w:pPr>
        <w:pStyle w:val="ListParagraph"/>
        <w:numPr>
          <w:ilvl w:val="0"/>
          <w:numId w:val="3"/>
        </w:numPr>
        <w:spacing w:after="55"/>
      </w:pPr>
      <w:r>
        <w:rPr>
          <w:b/>
          <w:bCs/>
          <w:sz w:val="20"/>
          <w:szCs w:val="20"/>
        </w:rPr>
        <w:t xml:space="preserve">Submit.</w:t>
      </w:r>
      <w:r>
        <w:rPr>
          <w:sz w:val="20"/>
          <w:szCs w:val="20"/>
        </w:rPr>
        <w:t xml:space="preserve"> Start a piece of work — an exploitation request or a pen-testing run — and set its scope.</w:t>
      </w:r>
    </w:p>
    <w:p>
      <w:pPr>
        <w:pStyle w:val="ListParagraph"/>
        <w:numPr>
          <w:ilvl w:val="0"/>
          <w:numId w:val="3"/>
        </w:numPr>
        <w:spacing w:after="55"/>
      </w:pPr>
      <w:r>
        <w:rPr>
          <w:b/>
          <w:bCs/>
          <w:sz w:val="20"/>
          <w:szCs w:val="20"/>
        </w:rPr>
        <w:t xml:space="preserve">Observe.</w:t>
      </w:r>
      <w:r>
        <w:rPr>
          <w:sz w:val="20"/>
          <w:szCs w:val="20"/>
        </w:rPr>
        <w:t xml:space="preserve"> Watch a run unfold live, following the reasoning and the actions.</w:t>
      </w:r>
    </w:p>
    <w:p>
      <w:pPr>
        <w:pStyle w:val="ListParagraph"/>
        <w:numPr>
          <w:ilvl w:val="0"/>
          <w:numId w:val="3"/>
        </w:numPr>
        <w:spacing w:after="55"/>
      </w:pPr>
      <w:r>
        <w:rPr>
          <w:b/>
          <w:bCs/>
          <w:sz w:val="20"/>
          <w:szCs w:val="20"/>
        </w:rPr>
        <w:t xml:space="preserve">Steer.</w:t>
      </w:r>
      <w:r>
        <w:rPr>
          <w:sz w:val="20"/>
          <w:szCs w:val="20"/>
        </w:rPr>
        <w:t xml:space="preserve"> Nudge, correct, or redirect a running job.</w:t>
      </w:r>
    </w:p>
    <w:p>
      <w:pPr>
        <w:pStyle w:val="ListParagraph"/>
        <w:numPr>
          <w:ilvl w:val="0"/>
          <w:numId w:val="3"/>
        </w:numPr>
        <w:spacing w:after="55"/>
      </w:pPr>
      <w:r>
        <w:rPr>
          <w:b/>
          <w:bCs/>
          <w:sz w:val="20"/>
          <w:szCs w:val="20"/>
        </w:rPr>
        <w:t xml:space="preserve">Take control.</w:t>
      </w:r>
      <w:r>
        <w:rPr>
          <w:sz w:val="20"/>
          <w:szCs w:val="20"/>
        </w:rPr>
        <w:t xml:space="preserve"> Step in and drive directly when human judgement is needed, then hand back.</w:t>
      </w:r>
    </w:p>
    <w:p>
      <w:pPr>
        <w:pStyle w:val="ListParagraph"/>
        <w:numPr>
          <w:ilvl w:val="0"/>
          <w:numId w:val="3"/>
        </w:numPr>
        <w:spacing w:after="55"/>
      </w:pPr>
      <w:r>
        <w:rPr>
          <w:b/>
          <w:bCs/>
          <w:sz w:val="20"/>
          <w:szCs w:val="20"/>
        </w:rPr>
        <w:t xml:space="preserve">Approve.</w:t>
      </w:r>
      <w:r>
        <w:rPr>
          <w:sz w:val="20"/>
          <w:szCs w:val="20"/>
        </w:rPr>
        <w:t xml:space="preserve"> Say yes or no to the risky steps the automation pauses on.</w:t>
      </w:r>
    </w:p>
    <w:p>
      <w:pPr>
        <w:pStyle w:val="ListParagraph"/>
        <w:numPr>
          <w:ilvl w:val="0"/>
          <w:numId w:val="3"/>
        </w:numPr>
        <w:spacing w:after="55"/>
      </w:pPr>
      <w:r>
        <w:rPr>
          <w:b/>
          <w:bCs/>
          <w:sz w:val="20"/>
          <w:szCs w:val="20"/>
        </w:rPr>
        <w:t xml:space="preserve">Review and sign off.</w:t>
      </w:r>
      <w:r>
        <w:rPr>
          <w:sz w:val="20"/>
          <w:szCs w:val="20"/>
        </w:rPr>
        <w:t xml:space="preserve"> Accept, reject, or annotate findings, and decide what happens next.</w:t>
      </w:r>
    </w:p>
    <w:p>
      <w:pPr>
        <w:pStyle w:val="Heading2"/>
        <w:spacing w:after="60" w:before="180"/>
      </w:pPr>
      <w:r>
        <w:rPr>
          <w:b/>
          <w:bCs/>
          <w:color w:val="2E5E8C"/>
          <w:sz w:val="21"/>
          <w:szCs w:val="21"/>
        </w:rPr>
        <w:t xml:space="preserve">What it produces</w:t>
      </w:r>
    </w:p>
    <w:p>
      <w:pPr>
        <w:spacing w:after="100"/>
      </w:pPr>
      <w:r>
        <w:rPr>
          <w:sz w:val="20"/>
          <w:szCs w:val="20"/>
        </w:rPr>
        <w:t xml:space="preserve">Human decisions and approvals recorded against each run, a curated and accepted set of findings, and results that can be shared with the people who need them.</w:t>
      </w:r>
    </w:p>
    <w:p>
      <w:pPr>
        <w:pStyle w:val="Heading2"/>
        <w:spacing w:after="60" w:before="180"/>
      </w:pPr>
      <w:r>
        <w:rPr>
          <w:b/>
          <w:bCs/>
          <w:color w:val="2E5E8C"/>
          <w:sz w:val="21"/>
          <w:szCs w:val="21"/>
        </w:rPr>
        <w:t xml:space="preserve">Where humans touch it</w:t>
      </w:r>
    </w:p>
    <w:p>
      <w:pPr>
        <w:spacing w:after="100"/>
      </w:pPr>
      <w:r>
        <w:rPr>
          <w:sz w:val="20"/>
          <w:szCs w:val="20"/>
        </w:rPr>
        <w:t xml:space="preserve">This use case </w:t>
      </w:r>
      <w:r>
        <w:rPr>
          <w:b/>
          <w:bCs/>
          <w:i/>
          <w:iCs/>
          <w:sz w:val="20"/>
          <w:szCs w:val="20"/>
        </w:rPr>
        <w:t xml:space="preserve">is</w:t>
      </w:r>
      <w:r>
        <w:rPr>
          <w:sz w:val="20"/>
          <w:szCs w:val="20"/>
        </w:rPr>
        <w:t xml:space="preserve"> the human involvement — anywhere from passively watching a run to fully taking the wheel.</w:t>
      </w:r>
    </w:p>
    <w:p>
      <w:pPr>
        <w:pStyle w:val="Heading2"/>
        <w:spacing w:after="60" w:before="180"/>
      </w:pPr>
      <w:r>
        <w:rPr>
          <w:b/>
          <w:bCs/>
          <w:color w:val="2E5E8C"/>
          <w:sz w:val="21"/>
          <w:szCs w:val="21"/>
        </w:rPr>
        <w:t xml:space="preserve">Hard boundaries</w:t>
      </w:r>
    </w:p>
    <w:p>
      <w:pPr>
        <w:pStyle w:val="ListParagraph"/>
        <w:numPr>
          <w:ilvl w:val="0"/>
          <w:numId w:val="2"/>
        </w:numPr>
        <w:spacing w:after="55"/>
      </w:pPr>
      <w:r>
        <w:rPr>
          <w:sz w:val="20"/>
          <w:szCs w:val="20"/>
        </w:rPr>
        <w:t xml:space="preserve">Access by role — who can see and who can act is controlled.</w:t>
      </w:r>
    </w:p>
    <w:p>
      <w:pPr>
        <w:pStyle w:val="ListParagraph"/>
        <w:numPr>
          <w:ilvl w:val="0"/>
          <w:numId w:val="2"/>
        </w:numPr>
        <w:spacing w:after="55"/>
      </w:pPr>
      <w:r>
        <w:rPr>
          <w:sz w:val="20"/>
          <w:szCs w:val="20"/>
        </w:rPr>
        <w:t xml:space="preserve">Every human action is logged.</w:t>
      </w:r>
    </w:p>
    <w:p>
      <w:pPr>
        <w:pStyle w:val="ListParagraph"/>
        <w:numPr>
          <w:ilvl w:val="0"/>
          <w:numId w:val="2"/>
        </w:numPr>
        <w:spacing w:after="55"/>
      </w:pPr>
      <w:r>
        <w:rPr>
          <w:sz w:val="20"/>
          <w:szCs w:val="20"/>
        </w:rPr>
        <w:t xml:space="preserve">Approvals are required where the rules say so.</w:t>
      </w:r>
    </w:p>
    <w:p>
      <w:pPr>
        <w:pStyle w:val="ListParagraph"/>
        <w:numPr>
          <w:ilvl w:val="0"/>
          <w:numId w:val="2"/>
        </w:numPr>
        <w:spacing w:after="55"/>
      </w:pPr>
      <w:r>
        <w:rPr>
          <w:sz w:val="20"/>
          <w:szCs w:val="20"/>
        </w:rPr>
        <w:t xml:space="preserve">A person can always stop a run.</w:t>
      </w:r>
    </w:p>
    <w:p>
      <w:pPr>
        <w:pStyle w:val="Heading2"/>
        <w:spacing w:after="60" w:before="180"/>
      </w:pPr>
      <w:r>
        <w:rPr>
          <w:b/>
          <w:bCs/>
          <w:color w:val="2E5E8C"/>
          <w:sz w:val="21"/>
          <w:szCs w:val="21"/>
        </w:rPr>
        <w:t xml:space="preserve">How it can go wrong (and how that's handled)</w:t>
      </w:r>
    </w:p>
    <w:p>
      <w:pPr>
        <w:pStyle w:val="ListParagraph"/>
        <w:numPr>
          <w:ilvl w:val="0"/>
          <w:numId w:val="2"/>
        </w:numPr>
        <w:spacing w:after="55"/>
      </w:pPr>
      <w:r>
        <w:rPr>
          <w:b/>
          <w:bCs/>
          <w:sz w:val="20"/>
          <w:szCs w:val="20"/>
        </w:rPr>
        <w:t xml:space="preserve">Not understanding what ran</w:t>
      </w:r>
      <w:r>
        <w:rPr>
          <w:sz w:val="20"/>
          <w:szCs w:val="20"/>
        </w:rPr>
        <w:t xml:space="preserve"> — handled by live, plain-language visibility of the automation's reasoning and actions.</w:t>
      </w:r>
    </w:p>
    <w:p>
      <w:pPr>
        <w:pStyle w:val="ListParagraph"/>
        <w:numPr>
          <w:ilvl w:val="0"/>
          <w:numId w:val="2"/>
        </w:numPr>
        <w:spacing w:after="55"/>
      </w:pPr>
      <w:r>
        <w:rPr>
          <w:b/>
          <w:bCs/>
          <w:sz w:val="20"/>
          <w:szCs w:val="20"/>
        </w:rPr>
        <w:t xml:space="preserve">The wrong person acting</w:t>
      </w:r>
      <w:r>
        <w:rPr>
          <w:sz w:val="20"/>
          <w:szCs w:val="20"/>
        </w:rPr>
        <w:t xml:space="preserve"> — handled by role-based access.</w:t>
      </w:r>
    </w:p>
    <w:p>
      <w:pPr>
        <w:pStyle w:val="ListParagraph"/>
        <w:numPr>
          <w:ilvl w:val="0"/>
          <w:numId w:val="2"/>
        </w:numPr>
        <w:spacing w:after="55"/>
      </w:pPr>
      <w:r>
        <w:rPr>
          <w:b/>
          <w:bCs/>
          <w:sz w:val="20"/>
          <w:szCs w:val="20"/>
        </w:rPr>
        <w:t xml:space="preserve">Rubber-stamping approvals</w:t>
      </w:r>
      <w:r>
        <w:rPr>
          <w:sz w:val="20"/>
          <w:szCs w:val="20"/>
        </w:rPr>
        <w:t xml:space="preserve"> — handled by showing the full context before a person approves a risky step.</w:t>
      </w:r>
    </w:p>
    <w:p>
      <w:pPr>
        <w:pStyle w:val="Heading2"/>
        <w:spacing w:after="60" w:before="180"/>
      </w:pPr>
      <w:r>
        <w:rPr>
          <w:b/>
          <w:bCs/>
          <w:color w:val="2E5E8C"/>
          <w:sz w:val="21"/>
          <w:szCs w:val="21"/>
        </w:rPr>
        <w:t xml:space="preserve">What “good” looks like</w:t>
      </w:r>
    </w:p>
    <w:p>
      <w:pPr>
        <w:spacing w:after="100"/>
      </w:pPr>
      <w:r>
        <w:rPr>
          <w:sz w:val="20"/>
          <w:szCs w:val="20"/>
        </w:rPr>
        <w:t xml:space="preserve">A person can understand and trust what the automation did, step in when needed, and sign off — all without leaving the controlled space, and with a complete record of who decided what.</w:t>
      </w:r>
    </w:p>
    <w:p>
      <w:pPr>
        <w:pBdr>
          <w:top w:val="single" w:color="BFBFBF" w:sz="6" w:space="6"/>
        </w:pBdr>
        <w:spacing w:before="180"/>
      </w:pPr>
      <w:r>
        <w:rPr>
          <w:i/>
          <w:iCs/>
          <w:color w:val="777777"/>
          <w:sz w:val="17"/>
          <w:szCs w:val="17"/>
        </w:rPr>
        <w:t xml:space="preserve">Common thread across all three use cases: every run happens inside a controlled, isolated space, reaches only what that run is entitled to, and leaves a complete, attributable record of what was done — whether a machine or a person did it.</w:t>
      </w:r>
    </w:p>
    <w:sectPr>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2026-10-08T18:55:04.080Z</dcterms:created>
  <dcterms:modified xsi:type="dcterms:W3CDTF">2026-10-08T18:55:04.080Z</dcterms:modified>
</cp:coreProperties>
</file>

<file path=docProps/custom.xml><?xml version="1.0" encoding="utf-8"?>
<Properties xmlns="http://schemas.openxmlformats.org/officeDocument/2006/custom-properties" xmlns:vt="http://schemas.openxmlformats.org/officeDocument/2006/docPropsVTypes"/>
</file>