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22"/>
          <w:szCs w:val="22"/>
        </w:rPr>
        <w:t xml:space="preserve">ARC · Initiative A</w:t>
      </w:r>
    </w:p>
    <w:p>
      <w:r>
        <w:rPr>
          <w:b/>
          <w:bCs/>
          <w:color w:val="222222"/>
          <w:sz w:val="32"/>
          <w:szCs w:val="32"/>
        </w:rPr>
        <w:t xml:space="preserve">Exploitation-Request Sandbox — Design &amp; Requirements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Design &amp; requirements for a network-contained agent that pulls source from S3, analyses it, and runs code it writes — with no other access</w:t>
      </w:r>
    </w:p>
    <w:p>
      <w:pPr>
        <w:pBdr>
          <w:bottom w:val="single" w:color="1F4E79" w:sz="8" w:space="2"/>
        </w:pBdr>
        <w:spacing w:after="150"/>
      </w:pPr>
    </w:p>
    <w:p>
      <w:pPr>
        <w:pStyle w:val="Heading1"/>
        <w:spacing w:after="90" w:before="260"/>
      </w:pPr>
      <w:r>
        <w:rPr>
          <w:b/>
          <w:bCs/>
          <w:color w:val="1F4E79"/>
          <w:sz w:val="27"/>
          <w:szCs w:val="27"/>
        </w:rPr>
        <w:t xml:space="preserve">1 · Purpose &amp; scope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Goal. </w:t>
      </w:r>
      <w:r>
        <w:rPr>
          <w:sz w:val="20"/>
          <w:szCs w:val="20"/>
        </w:rPr>
        <w:t xml:space="preserve">Stand up a proof-of-concept sandbox in our AWS account where an AI agent (a model-driven harness — pluggable: the ARC agent-core / ADK or a custom runner calling Bedrock; </w:t>
      </w:r>
      <w:r>
        <w:rPr>
          <w:b/>
          <w:bCs/>
          <w:sz w:val="20"/>
          <w:szCs w:val="20"/>
        </w:rPr>
        <w:t xml:space="preserve">NOT tied to Claude Code</w:t>
      </w:r>
      <w:r>
        <w:rPr>
          <w:sz w:val="20"/>
          <w:szCs w:val="20"/>
        </w:rPr>
        <w:t xml:space="preserve">) can: (1) pull a source-code bundle from S3, (2) read/scan it, (3) write code, and (4) run that code to analyse the source — while having </w:t>
      </w:r>
      <w:r>
        <w:rPr>
          <w:b/>
          <w:bCs/>
          <w:sz w:val="20"/>
          <w:szCs w:val="20"/>
        </w:rPr>
        <w:t xml:space="preserve">no network or AWS access beyond exactly what those four steps require.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Infrastructure. </w:t>
      </w:r>
      <w:r>
        <w:rPr>
          <w:sz w:val="20"/>
          <w:szCs w:val="20"/>
        </w:rPr>
        <w:t xml:space="preserve">The chosen runtime is listed as an infrastructure requirement (§4.1): the sandbox runs as an </w:t>
      </w:r>
      <w:r>
        <w:rPr>
          <w:b/>
          <w:bCs/>
          <w:sz w:val="20"/>
          <w:szCs w:val="20"/>
        </w:rPr>
        <w:t xml:space="preserve">ECS Fargate task</w:t>
      </w:r>
      <w:r>
        <w:rPr>
          <w:sz w:val="20"/>
          <w:szCs w:val="20"/>
        </w:rPr>
        <w:t xml:space="preserve"> — one ephemeral task per request, each isolated by AWS in its own Firecracker microVM. (An EC2 single-run variant was explored but not chosen.) Fargate has no fixed maximum task runtime, so hours-long analysis runs are fine on-demand. The containment design itself is runtime-agnostic — the requirements below hold regardless of compute.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Out of scope (later initiatives): </w:t>
      </w:r>
      <w:r>
        <w:rPr>
          <w:sz w:val="20"/>
          <w:szCs w:val="20"/>
        </w:rPr>
        <w:t xml:space="preserve">per-action governance service, RoE engine, HITL, and attacking a live running target. This POC is only about containing the agent's network.</w:t>
      </w:r>
    </w:p>
    <w:p>
      <w:pPr>
        <w:pStyle w:val="Heading1"/>
        <w:spacing w:after="90" w:before="260"/>
      </w:pPr>
      <w:r>
        <w:rPr>
          <w:b/>
          <w:bCs/>
          <w:color w:val="1F4E79"/>
          <w:sz w:val="27"/>
          <w:szCs w:val="27"/>
        </w:rPr>
        <w:t xml:space="preserve">2 · Architecture</w:t>
      </w:r>
    </w:p>
    <w:p>
      <w:pPr>
        <w:spacing w:after="100"/>
      </w:pPr>
      <w:r>
        <w:rPr>
          <w:sz w:val="20"/>
          <w:szCs w:val="20"/>
        </w:rPr>
        <w:t xml:space="preserve">A launcher (ECS RunTask / Step Functions) starts one ephemeral Fargate task per request, passing the source bucket+prefix. The task runs the agent harness, pulls source via the S3 gateway endpoint, calls the model via the in-account Bedrock interface endpoint, pulls its image via ECR endpoints, and writes logs/results — and can reach nothing else. The task is wiped on exit.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Containment principle. </w:t>
      </w:r>
      <w:r>
        <w:rPr>
          <w:sz w:val="20"/>
          <w:szCs w:val="20"/>
        </w:rPr>
        <w:t xml:space="preserve">Deny-by-default by absence, not filtering: the task runs in private subnets with NO internet gateway and NO NAT, so there is no route to the internet. The only way out is a small set of scoped VPC endpoints. Three independent walls must all agree before any byte leaves: (a) routing — no internet path exists; (b) security group — egress only to the endpoints; (c) IAM + endpoint policy — only the specific bucket and model.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540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16"/>
          <w:szCs w:val="16"/>
        </w:rPr>
        <w:t xml:space="preserve">Figure 1 — ECS Fargate sandbox: the task reaches only S3, Bedrock, ECR and Logs via VPC endpoints; everything else has no route. Dashed purple = future source-provisioning (F1).</w:t>
      </w:r>
    </w:p>
    <w:p>
      <w:pPr>
        <w:pStyle w:val="Heading1"/>
        <w:spacing w:after="90" w:before="260"/>
      </w:pPr>
      <w:r>
        <w:rPr>
          <w:b/>
          <w:bCs/>
          <w:color w:val="1F4E79"/>
          <w:sz w:val="27"/>
          <w:szCs w:val="27"/>
        </w:rPr>
        <w:t xml:space="preserve">3 · Assumptions &amp; open questions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0"/>
          <w:szCs w:val="20"/>
        </w:rPr>
        <w:t xml:space="preserve">Source location: </w:t>
      </w:r>
      <w:r>
        <w:rPr>
          <w:sz w:val="20"/>
          <w:szCs w:val="20"/>
        </w:rPr>
        <w:t xml:space="preserve">source code is in an S3 bucket for now (one bucket/prefix per run). Later it may be provisioned from an exploitation request (see §6).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0"/>
          <w:szCs w:val="20"/>
        </w:rPr>
        <w:t xml:space="preserve">Agent harness: </w:t>
      </w:r>
      <w:r>
        <w:rPr>
          <w:sz w:val="20"/>
          <w:szCs w:val="20"/>
        </w:rPr>
        <w:t xml:space="preserve">not Claude Code-specific — pluggable (ARC agent-core / ADK or a custom runner). The containment design is harness-agnostic.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0"/>
          <w:szCs w:val="20"/>
        </w:rPr>
        <w:t xml:space="preserve">Model access: RESOLVED — </w:t>
      </w:r>
      <w:r>
        <w:rPr>
          <w:sz w:val="20"/>
          <w:szCs w:val="20"/>
        </w:rPr>
        <w:t xml:space="preserve">Bedrock is in the SAME account, reached only via the in-account Bedrock interface endpoint (bedrock-runtime) over PrivateLink. No internet hole needed. Note: in-account does NOT make Bedrock private by itself — the interface endpoint is still required.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0"/>
          <w:szCs w:val="20"/>
        </w:rPr>
        <w:t xml:space="preserve">Results destination: </w:t>
      </w:r>
      <w:r>
        <w:rPr>
          <w:sz w:val="20"/>
          <w:szCs w:val="20"/>
        </w:rPr>
        <w:t xml:space="preserve">assumed a separate write-only S3 results bucket. Confirm.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0"/>
          <w:szCs w:val="20"/>
        </w:rPr>
        <w:t xml:space="preserve">Account: </w:t>
      </w:r>
      <w:r>
        <w:rPr>
          <w:sz w:val="20"/>
          <w:szCs w:val="20"/>
        </w:rPr>
        <w:t xml:space="preserve">assumed a dedicated sandbox account (or at least a dedicated VPC) for blast-radius isolation. Confirm.</w:t>
      </w:r>
    </w:p>
    <w:p>
      <w:pPr>
        <w:pStyle w:val="Heading1"/>
        <w:spacing w:after="90" w:before="260"/>
      </w:pPr>
      <w:r>
        <w:rPr>
          <w:b/>
          <w:bCs/>
          <w:color w:val="1F4E79"/>
          <w:sz w:val="27"/>
          <w:szCs w:val="27"/>
        </w:rPr>
        <w:t xml:space="preserve">4 · Requirements</w:t>
      </w:r>
    </w:p>
    <w:p>
      <w:pPr>
        <w:pStyle w:val="Heading2"/>
        <w:spacing w:after="70" w:before="160"/>
      </w:pPr>
      <w:r>
        <w:rPr>
          <w:b/>
          <w:bCs/>
          <w:color w:val="2E5E8C"/>
          <w:sz w:val="22"/>
          <w:szCs w:val="22"/>
        </w:rPr>
        <w:t xml:space="preserve">4.1 Infrastructure, account &amp; VPC isolation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870"/>
        <w:gridCol w:w="4420"/>
        <w:gridCol w:w="2660"/>
        <w:gridCol w:w="1410"/>
      </w:tblGrid>
      <w:tr>
        <w:trPr>
          <w:tblHeader/>
        </w:trPr>
        <w:tc>
          <w:tcPr>
            <w:tcW w:type="dxa" w:w="87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42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66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AWS service / mechanism</w:t>
            </w:r>
          </w:p>
        </w:tc>
        <w:tc>
          <w:tcPr>
            <w:tcW w:type="dxa" w:w="141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87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INF1</w:t>
            </w:r>
          </w:p>
        </w:tc>
        <w:tc>
          <w:tcPr>
            <w:tcW w:type="dxa" w:w="44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Compute: run each sandbox as one ephemeral task per request (AWS-managed Firecracker microVM isolation)</w:t>
            </w:r>
          </w:p>
        </w:tc>
        <w:tc>
          <w:tcPr>
            <w:tcW w:type="dxa" w:w="26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Amazon ECS on Fargate</w:t>
            </w:r>
          </w:p>
        </w:tc>
        <w:tc>
          <w:tcPr>
            <w:tcW w:type="dxa" w:w="14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87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INF2</w:t>
            </w:r>
          </w:p>
        </w:tc>
        <w:tc>
          <w:tcPr>
            <w:tcW w:type="dxa" w:w="44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Orchestration/launcher: start one task per request with run parameters</w:t>
            </w:r>
          </w:p>
        </w:tc>
        <w:tc>
          <w:tcPr>
            <w:tcW w:type="dxa" w:w="26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ECS RunTask / Step Functions</w:t>
            </w:r>
          </w:p>
        </w:tc>
        <w:tc>
          <w:tcPr>
            <w:tcW w:type="dxa" w:w="14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87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INF3</w:t>
            </w:r>
          </w:p>
        </w:tc>
        <w:tc>
          <w:tcPr>
            <w:tcW w:type="dxa" w:w="44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Private registry for the agent container image</w:t>
            </w:r>
          </w:p>
        </w:tc>
        <w:tc>
          <w:tcPr>
            <w:tcW w:type="dxa" w:w="26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Amazon ECR (private)</w:t>
            </w:r>
          </w:p>
        </w:tc>
        <w:tc>
          <w:tcPr>
            <w:tcW w:type="dxa" w:w="14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87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N1</w:t>
            </w:r>
          </w:p>
        </w:tc>
        <w:tc>
          <w:tcPr>
            <w:tcW w:type="dxa" w:w="44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Dedicated sandbox account (or dedicated VPC) separate from any production workload</w:t>
            </w:r>
          </w:p>
        </w:tc>
        <w:tc>
          <w:tcPr>
            <w:tcW w:type="dxa" w:w="26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AWS account / Organizations OU</w:t>
            </w:r>
          </w:p>
        </w:tc>
        <w:tc>
          <w:tcPr>
            <w:tcW w:type="dxa" w:w="14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87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N2</w:t>
            </w:r>
          </w:p>
        </w:tc>
        <w:tc>
          <w:tcPr>
            <w:tcW w:type="dxa" w:w="44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Private subnets only — NO Internet Gateway, NO NAT (no internet route exists)</w:t>
            </w:r>
          </w:p>
        </w:tc>
        <w:tc>
          <w:tcPr>
            <w:tcW w:type="dxa" w:w="26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VPC route tables</w:t>
            </w:r>
          </w:p>
        </w:tc>
        <w:tc>
          <w:tcPr>
            <w:tcW w:type="dxa" w:w="14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87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N3</w:t>
            </w:r>
          </w:p>
        </w:tc>
        <w:tc>
          <w:tcPr>
            <w:tcW w:type="dxa" w:w="44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Task gets NO public IP</w:t>
            </w:r>
          </w:p>
        </w:tc>
        <w:tc>
          <w:tcPr>
            <w:tcW w:type="dxa" w:w="26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awsvpc · assignPublicIp=DISABLED</w:t>
            </w:r>
          </w:p>
        </w:tc>
        <w:tc>
          <w:tcPr>
            <w:tcW w:type="dxa" w:w="14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</w:tbl>
    <w:p>
      <w:pPr>
        <w:pStyle w:val="Heading2"/>
        <w:spacing w:after="70" w:before="160"/>
      </w:pPr>
      <w:r>
        <w:rPr>
          <w:b/>
          <w:bCs/>
          <w:color w:val="2E5E8C"/>
          <w:sz w:val="22"/>
          <w:szCs w:val="22"/>
        </w:rPr>
        <w:t xml:space="preserve">4.2 Network egress — the funnel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870"/>
        <w:gridCol w:w="4420"/>
        <w:gridCol w:w="2660"/>
        <w:gridCol w:w="1410"/>
      </w:tblGrid>
      <w:tr>
        <w:trPr>
          <w:tblHeader/>
        </w:trPr>
        <w:tc>
          <w:tcPr>
            <w:tcW w:type="dxa" w:w="87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42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66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AWS mechanism</w:t>
            </w:r>
          </w:p>
        </w:tc>
        <w:tc>
          <w:tcPr>
            <w:tcW w:type="dxa" w:w="141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87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N4</w:t>
            </w:r>
          </w:p>
        </w:tc>
        <w:tc>
          <w:tcPr>
            <w:tcW w:type="dxa" w:w="44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Security group: egress DENY-ALL except 443 to the VPC endpoints / S3 prefix list</w:t>
            </w:r>
          </w:p>
        </w:tc>
        <w:tc>
          <w:tcPr>
            <w:tcW w:type="dxa" w:w="26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Task SG egress rules</w:t>
            </w:r>
          </w:p>
        </w:tc>
        <w:tc>
          <w:tcPr>
            <w:tcW w:type="dxa" w:w="14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87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N5</w:t>
            </w:r>
          </w:p>
        </w:tc>
        <w:tc>
          <w:tcPr>
            <w:tcW w:type="dxa" w:w="44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Subnet NACL deny-all except endpoint ENIs (static backstop under the SG)</w:t>
            </w:r>
          </w:p>
        </w:tc>
        <w:tc>
          <w:tcPr>
            <w:tcW w:type="dxa" w:w="26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Network ACLs</w:t>
            </w:r>
          </w:p>
        </w:tc>
        <w:tc>
          <w:tcPr>
            <w:tcW w:type="dxa" w:w="14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87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N6</w:t>
            </w:r>
          </w:p>
        </w:tc>
        <w:tc>
          <w:tcPr>
            <w:tcW w:type="dxa" w:w="44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VPC peering / Transit Gateway routes to any other network</w:t>
            </w:r>
          </w:p>
        </w:tc>
        <w:tc>
          <w:tcPr>
            <w:tcW w:type="dxa" w:w="26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Route tables (absence)</w:t>
            </w:r>
          </w:p>
        </w:tc>
        <w:tc>
          <w:tcPr>
            <w:tcW w:type="dxa" w:w="14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87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N7</w:t>
            </w:r>
          </w:p>
        </w:tc>
        <w:tc>
          <w:tcPr>
            <w:tcW w:type="dxa" w:w="44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Code the agent writes and runs inherits the same deny-all network</w:t>
            </w:r>
          </w:p>
        </w:tc>
        <w:tc>
          <w:tcPr>
            <w:tcW w:type="dxa" w:w="26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Single task network namespace</w:t>
            </w:r>
          </w:p>
        </w:tc>
        <w:tc>
          <w:tcPr>
            <w:tcW w:type="dxa" w:w="14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</w:tbl>
    <w:p>
      <w:pPr>
        <w:pStyle w:val="Heading2"/>
        <w:spacing w:after="70" w:before="160"/>
      </w:pPr>
      <w:r>
        <w:rPr>
          <w:b/>
          <w:bCs/>
          <w:color w:val="2E5E8C"/>
          <w:sz w:val="22"/>
          <w:szCs w:val="22"/>
        </w:rPr>
        <w:t xml:space="preserve">4.3 VPC endpoints (only way out) + endpoint policies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870"/>
        <w:gridCol w:w="4420"/>
        <w:gridCol w:w="2660"/>
        <w:gridCol w:w="1410"/>
      </w:tblGrid>
      <w:tr>
        <w:trPr>
          <w:tblHeader/>
        </w:trPr>
        <w:tc>
          <w:tcPr>
            <w:tcW w:type="dxa" w:w="87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42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66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AWS mechanism</w:t>
            </w:r>
          </w:p>
        </w:tc>
        <w:tc>
          <w:tcPr>
            <w:tcW w:type="dxa" w:w="141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87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E1</w:t>
            </w:r>
          </w:p>
        </w:tc>
        <w:tc>
          <w:tcPr>
            <w:tcW w:type="dxa" w:w="44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S3 gateway endpoint; policy limited to the source bucket (read) + results bucket (write)</w:t>
            </w:r>
          </w:p>
        </w:tc>
        <w:tc>
          <w:tcPr>
            <w:tcW w:type="dxa" w:w="26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S3 Gateway endpoint + policy</w:t>
            </w:r>
          </w:p>
        </w:tc>
        <w:tc>
          <w:tcPr>
            <w:tcW w:type="dxa" w:w="14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87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E2</w:t>
            </w:r>
          </w:p>
        </w:tc>
        <w:tc>
          <w:tcPr>
            <w:tcW w:type="dxa" w:w="44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In-account Bedrock interface endpoint; policy = InvokeModel on the one model</w:t>
            </w:r>
          </w:p>
        </w:tc>
        <w:tc>
          <w:tcPr>
            <w:tcW w:type="dxa" w:w="26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Interface endpoint (bedrock-runtime)</w:t>
            </w:r>
          </w:p>
        </w:tc>
        <w:tc>
          <w:tcPr>
            <w:tcW w:type="dxa" w:w="14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87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E3</w:t>
            </w:r>
          </w:p>
        </w:tc>
        <w:tc>
          <w:tcPr>
            <w:tcW w:type="dxa" w:w="44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Image pull via ECR api + dkr endpoints (+ S3 gateway for layers)</w:t>
            </w:r>
          </w:p>
        </w:tc>
        <w:tc>
          <w:tcPr>
            <w:tcW w:type="dxa" w:w="26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ecr.api, ecr.dkr endpoints</w:t>
            </w:r>
          </w:p>
        </w:tc>
        <w:tc>
          <w:tcPr>
            <w:tcW w:type="dxa" w:w="14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87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E4</w:t>
            </w:r>
          </w:p>
        </w:tc>
        <w:tc>
          <w:tcPr>
            <w:tcW w:type="dxa" w:w="44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Logs via CloudWatch Logs interface endpoint</w:t>
            </w:r>
          </w:p>
        </w:tc>
        <w:tc>
          <w:tcPr>
            <w:tcW w:type="dxa" w:w="26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logs endpoint</w:t>
            </w:r>
          </w:p>
        </w:tc>
        <w:tc>
          <w:tcPr>
            <w:tcW w:type="dxa" w:w="14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87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E5</w:t>
            </w:r>
          </w:p>
        </w:tc>
        <w:tc>
          <w:tcPr>
            <w:tcW w:type="dxa" w:w="44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other interface endpoints present</w:t>
            </w:r>
          </w:p>
        </w:tc>
        <w:tc>
          <w:tcPr>
            <w:tcW w:type="dxa" w:w="26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Endpoint inventory review</w:t>
            </w:r>
          </w:p>
        </w:tc>
        <w:tc>
          <w:tcPr>
            <w:tcW w:type="dxa" w:w="14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87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E6</w:t>
            </w:r>
          </w:p>
        </w:tc>
        <w:tc>
          <w:tcPr>
            <w:tcW w:type="dxa" w:w="44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Bedrock model access enabled for the model in this account + region (one-time grant)</w:t>
            </w:r>
          </w:p>
        </w:tc>
        <w:tc>
          <w:tcPr>
            <w:tcW w:type="dxa" w:w="26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Bedrock console · model access</w:t>
            </w:r>
          </w:p>
        </w:tc>
        <w:tc>
          <w:tcPr>
            <w:tcW w:type="dxa" w:w="14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</w:tbl>
    <w:p>
      <w:pPr>
        <w:pStyle w:val="Heading2"/>
        <w:spacing w:after="70" w:before="160"/>
      </w:pPr>
      <w:r>
        <w:rPr>
          <w:b/>
          <w:bCs/>
          <w:color w:val="2E5E8C"/>
          <w:sz w:val="22"/>
          <w:szCs w:val="22"/>
        </w:rPr>
        <w:t xml:space="preserve">4.4 IAM least privilege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870"/>
        <w:gridCol w:w="4420"/>
        <w:gridCol w:w="2660"/>
        <w:gridCol w:w="1410"/>
      </w:tblGrid>
      <w:tr>
        <w:trPr>
          <w:tblHeader/>
        </w:trPr>
        <w:tc>
          <w:tcPr>
            <w:tcW w:type="dxa" w:w="87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42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66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AWS mechanism</w:t>
            </w:r>
          </w:p>
        </w:tc>
        <w:tc>
          <w:tcPr>
            <w:tcW w:type="dxa" w:w="141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87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I1</w:t>
            </w:r>
          </w:p>
        </w:tc>
        <w:tc>
          <w:tcPr>
            <w:tcW w:type="dxa" w:w="44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Task role: s3:GetObject (source prefix) + s3:PutObject (results prefix), ARN-scoped, no wildcards</w:t>
            </w:r>
          </w:p>
        </w:tc>
        <w:tc>
          <w:tcPr>
            <w:tcW w:type="dxa" w:w="26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IAM task role</w:t>
            </w:r>
          </w:p>
        </w:tc>
        <w:tc>
          <w:tcPr>
            <w:tcW w:type="dxa" w:w="14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87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I2</w:t>
            </w:r>
          </w:p>
        </w:tc>
        <w:tc>
          <w:tcPr>
            <w:tcW w:type="dxa" w:w="44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Task role: bedrock:InvokeModel on one in-account model ARN (no bedrock:*)</w:t>
            </w:r>
          </w:p>
        </w:tc>
        <w:tc>
          <w:tcPr>
            <w:tcW w:type="dxa" w:w="26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IAM task role</w:t>
            </w:r>
          </w:p>
        </w:tc>
        <w:tc>
          <w:tcPr>
            <w:tcW w:type="dxa" w:w="14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87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I3</w:t>
            </w:r>
          </w:p>
        </w:tc>
        <w:tc>
          <w:tcPr>
            <w:tcW w:type="dxa" w:w="44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Execution role: only ECR pull + logs write</w:t>
            </w:r>
          </w:p>
        </w:tc>
        <w:tc>
          <w:tcPr>
            <w:tcW w:type="dxa" w:w="26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IAM execution role</w:t>
            </w:r>
          </w:p>
        </w:tc>
        <w:tc>
          <w:tcPr>
            <w:tcW w:type="dxa" w:w="14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87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I4</w:t>
            </w:r>
          </w:p>
        </w:tc>
        <w:tc>
          <w:tcPr>
            <w:tcW w:type="dxa" w:w="44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s3:* , no account-wide perms, no iam:* / ec2:*</w:t>
            </w:r>
          </w:p>
        </w:tc>
        <w:tc>
          <w:tcPr>
            <w:tcW w:type="dxa" w:w="26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Policy review / Access Analyzer</w:t>
            </w:r>
          </w:p>
        </w:tc>
        <w:tc>
          <w:tcPr>
            <w:tcW w:type="dxa" w:w="14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87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I5</w:t>
            </w:r>
          </w:p>
        </w:tc>
        <w:tc>
          <w:tcPr>
            <w:tcW w:type="dxa" w:w="44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Buckets enforce TLS + only the task role (bucket policy)</w:t>
            </w:r>
          </w:p>
        </w:tc>
        <w:tc>
          <w:tcPr>
            <w:tcW w:type="dxa" w:w="26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S3 bucket policy · aws:SecureTransport</w:t>
            </w:r>
          </w:p>
        </w:tc>
        <w:tc>
          <w:tcPr>
            <w:tcW w:type="dxa" w:w="14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SHOULD</w:t>
            </w:r>
          </w:p>
        </w:tc>
      </w:tr>
    </w:tbl>
    <w:p>
      <w:pPr>
        <w:pStyle w:val="Heading2"/>
        <w:spacing w:after="70" w:before="160"/>
      </w:pPr>
      <w:r>
        <w:rPr>
          <w:b/>
          <w:bCs/>
          <w:color w:val="2E5E8C"/>
          <w:sz w:val="22"/>
          <w:szCs w:val="22"/>
        </w:rPr>
        <w:t xml:space="preserve">4.5 Metadata &amp; credential protection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870"/>
        <w:gridCol w:w="4420"/>
        <w:gridCol w:w="2660"/>
        <w:gridCol w:w="1410"/>
      </w:tblGrid>
      <w:tr>
        <w:trPr>
          <w:tblHeader/>
        </w:trPr>
        <w:tc>
          <w:tcPr>
            <w:tcW w:type="dxa" w:w="87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42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66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AWS mechanism</w:t>
            </w:r>
          </w:p>
        </w:tc>
        <w:tc>
          <w:tcPr>
            <w:tcW w:type="dxa" w:w="141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87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M1</w:t>
            </w:r>
          </w:p>
        </w:tc>
        <w:tc>
          <w:tcPr>
            <w:tcW w:type="dxa" w:w="44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Block EC2 metadata 169.254.169.254 from the workload (SSRF cred-theft path)</w:t>
            </w:r>
          </w:p>
        </w:tc>
        <w:tc>
          <w:tcPr>
            <w:tcW w:type="dxa" w:w="26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egress deny / app-level block</w:t>
            </w:r>
          </w:p>
        </w:tc>
        <w:tc>
          <w:tcPr>
            <w:tcW w:type="dxa" w:w="14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87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M2</w:t>
            </w:r>
          </w:p>
        </w:tc>
        <w:tc>
          <w:tcPr>
            <w:tcW w:type="dxa" w:w="44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Task-role creds only via the ECS task credential path 169.254.170.2</w:t>
            </w:r>
          </w:p>
        </w:tc>
        <w:tc>
          <w:tcPr>
            <w:tcW w:type="dxa" w:w="26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Fargate platform default</w:t>
            </w:r>
          </w:p>
        </w:tc>
        <w:tc>
          <w:tcPr>
            <w:tcW w:type="dxa" w:w="14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87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M3</w:t>
            </w:r>
          </w:p>
        </w:tc>
        <w:tc>
          <w:tcPr>
            <w:tcW w:type="dxa" w:w="44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long-lived AWS keys in the image or env; task role only</w:t>
            </w:r>
          </w:p>
        </w:tc>
        <w:tc>
          <w:tcPr>
            <w:tcW w:type="dxa" w:w="26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Image + task-def review</w:t>
            </w:r>
          </w:p>
        </w:tc>
        <w:tc>
          <w:tcPr>
            <w:tcW w:type="dxa" w:w="14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</w:tbl>
    <w:p>
      <w:pPr>
        <w:pStyle w:val="Heading2"/>
        <w:spacing w:after="70" w:before="160"/>
      </w:pPr>
      <w:r>
        <w:rPr>
          <w:b/>
          <w:bCs/>
          <w:color w:val="2E5E8C"/>
          <w:sz w:val="22"/>
          <w:szCs w:val="22"/>
        </w:rPr>
        <w:t xml:space="preserve">4.6 Task / container hardening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870"/>
        <w:gridCol w:w="4420"/>
        <w:gridCol w:w="2660"/>
        <w:gridCol w:w="1410"/>
      </w:tblGrid>
      <w:tr>
        <w:trPr>
          <w:tblHeader/>
        </w:trPr>
        <w:tc>
          <w:tcPr>
            <w:tcW w:type="dxa" w:w="87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42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66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AWS mechanism</w:t>
            </w:r>
          </w:p>
        </w:tc>
        <w:tc>
          <w:tcPr>
            <w:tcW w:type="dxa" w:w="141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87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C1</w:t>
            </w:r>
          </w:p>
        </w:tc>
        <w:tc>
          <w:tcPr>
            <w:tcW w:type="dxa" w:w="44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Ephemeral: one run per task; task stops after; ephemeral storage discarded</w:t>
            </w:r>
          </w:p>
        </w:tc>
        <w:tc>
          <w:tcPr>
            <w:tcW w:type="dxa" w:w="26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ECS RunTask lifecycle</w:t>
            </w:r>
          </w:p>
        </w:tc>
        <w:tc>
          <w:tcPr>
            <w:tcW w:type="dxa" w:w="14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87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C2</w:t>
            </w:r>
          </w:p>
        </w:tc>
        <w:tc>
          <w:tcPr>
            <w:tcW w:type="dxa" w:w="44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Read-only root filesystem + a scratch volume only where code is written/run</w:t>
            </w:r>
          </w:p>
        </w:tc>
        <w:tc>
          <w:tcPr>
            <w:tcW w:type="dxa" w:w="26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task def readonlyRootFilesystem</w:t>
            </w:r>
          </w:p>
        </w:tc>
        <w:tc>
          <w:tcPr>
            <w:tcW w:type="dxa" w:w="14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87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C3</w:t>
            </w:r>
          </w:p>
        </w:tc>
        <w:tc>
          <w:tcPr>
            <w:tcW w:type="dxa" w:w="44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Non-root user; no privileged mode; drop Linux capabilities incl. NET_ADMIN</w:t>
            </w:r>
          </w:p>
        </w:tc>
        <w:tc>
          <w:tcPr>
            <w:tcW w:type="dxa" w:w="26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task def linuxParameters</w:t>
            </w:r>
          </w:p>
        </w:tc>
        <w:tc>
          <w:tcPr>
            <w:tcW w:type="dxa" w:w="14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87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C4</w:t>
            </w:r>
          </w:p>
        </w:tc>
        <w:tc>
          <w:tcPr>
            <w:tcW w:type="dxa" w:w="44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CPU / memory / ephemeral-storage limits + task-level timeout</w:t>
            </w:r>
          </w:p>
        </w:tc>
        <w:tc>
          <w:tcPr>
            <w:tcW w:type="dxa" w:w="26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task def sizing + launcher timeout</w:t>
            </w:r>
          </w:p>
        </w:tc>
        <w:tc>
          <w:tcPr>
            <w:tcW w:type="dxa" w:w="14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87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C5</w:t>
            </w:r>
          </w:p>
        </w:tc>
        <w:tc>
          <w:tcPr>
            <w:tcW w:type="dxa" w:w="44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image from private ECR (scanned), pinned by digest</w:t>
            </w:r>
          </w:p>
        </w:tc>
        <w:tc>
          <w:tcPr>
            <w:tcW w:type="dxa" w:w="26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ECR + digest pin</w:t>
            </w:r>
          </w:p>
        </w:tc>
        <w:tc>
          <w:tcPr>
            <w:tcW w:type="dxa" w:w="14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SHOULD</w:t>
            </w:r>
          </w:p>
        </w:tc>
      </w:tr>
    </w:tbl>
    <w:p>
      <w:pPr>
        <w:pStyle w:val="Heading2"/>
        <w:spacing w:after="70" w:before="160"/>
      </w:pPr>
      <w:r>
        <w:rPr>
          <w:b/>
          <w:bCs/>
          <w:color w:val="2E5E8C"/>
          <w:sz w:val="22"/>
          <w:szCs w:val="22"/>
        </w:rPr>
        <w:t xml:space="preserve">4.7 Observability &amp; audit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870"/>
        <w:gridCol w:w="4420"/>
        <w:gridCol w:w="2660"/>
        <w:gridCol w:w="1410"/>
      </w:tblGrid>
      <w:tr>
        <w:trPr>
          <w:tblHeader/>
        </w:trPr>
        <w:tc>
          <w:tcPr>
            <w:tcW w:type="dxa" w:w="87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42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66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AWS mechanism</w:t>
            </w:r>
          </w:p>
        </w:tc>
        <w:tc>
          <w:tcPr>
            <w:tcW w:type="dxa" w:w="141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87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O1</w:t>
            </w:r>
          </w:p>
        </w:tc>
        <w:tc>
          <w:tcPr>
            <w:tcW w:type="dxa" w:w="44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VPC Flow Logs capturing every allowed + denied flow</w:t>
            </w:r>
          </w:p>
        </w:tc>
        <w:tc>
          <w:tcPr>
            <w:tcW w:type="dxa" w:w="26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VPC Flow Logs</w:t>
            </w:r>
          </w:p>
        </w:tc>
        <w:tc>
          <w:tcPr>
            <w:tcW w:type="dxa" w:w="14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87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O2</w:t>
            </w:r>
          </w:p>
        </w:tc>
        <w:tc>
          <w:tcPr>
            <w:tcW w:type="dxa" w:w="44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CloudTrail S3 data events on the source + results buckets</w:t>
            </w:r>
          </w:p>
        </w:tc>
        <w:tc>
          <w:tcPr>
            <w:tcW w:type="dxa" w:w="26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CloudTrail data events</w:t>
            </w:r>
          </w:p>
        </w:tc>
        <w:tc>
          <w:tcPr>
            <w:tcW w:type="dxa" w:w="14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87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O3</w:t>
            </w:r>
          </w:p>
        </w:tc>
        <w:tc>
          <w:tcPr>
            <w:tcW w:type="dxa" w:w="44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stdout/stderr + run transcript to CloudWatch Logs</w:t>
            </w:r>
          </w:p>
        </w:tc>
        <w:tc>
          <w:tcPr>
            <w:tcW w:type="dxa" w:w="26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awslogs driver</w:t>
            </w:r>
          </w:p>
        </w:tc>
        <w:tc>
          <w:tcPr>
            <w:tcW w:type="dxa" w:w="14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87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O4</w:t>
            </w:r>
          </w:p>
        </w:tc>
        <w:tc>
          <w:tcPr>
            <w:tcW w:type="dxa" w:w="44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Alarm on any denied/blocked egress attempt</w:t>
            </w:r>
          </w:p>
        </w:tc>
        <w:tc>
          <w:tcPr>
            <w:tcW w:type="dxa" w:w="26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Flow Log metric filter → alarm; GuardDuty</w:t>
            </w:r>
          </w:p>
        </w:tc>
        <w:tc>
          <w:tcPr>
            <w:tcW w:type="dxa" w:w="14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SHOULD</w:t>
            </w:r>
          </w:p>
        </w:tc>
      </w:tr>
    </w:tbl>
    <w:p>
      <w:pPr>
        <w:pStyle w:val="Heading2"/>
        <w:spacing w:after="70" w:before="160"/>
      </w:pPr>
      <w:r>
        <w:rPr>
          <w:b/>
          <w:bCs/>
          <w:color w:val="2E5E8C"/>
          <w:sz w:val="22"/>
          <w:szCs w:val="22"/>
        </w:rPr>
        <w:t xml:space="preserve">4.8 Lifecycle &amp; orchestration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870"/>
        <w:gridCol w:w="4420"/>
        <w:gridCol w:w="2660"/>
        <w:gridCol w:w="1410"/>
      </w:tblGrid>
      <w:tr>
        <w:trPr>
          <w:tblHeader/>
        </w:trPr>
        <w:tc>
          <w:tcPr>
            <w:tcW w:type="dxa" w:w="87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42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66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AWS mechanism</w:t>
            </w:r>
          </w:p>
        </w:tc>
        <w:tc>
          <w:tcPr>
            <w:tcW w:type="dxa" w:w="141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87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L1</w:t>
            </w:r>
          </w:p>
        </w:tc>
        <w:tc>
          <w:tcPr>
            <w:tcW w:type="dxa" w:w="44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Launcher starts the task with run parameters (source bucket+prefix, run id)</w:t>
            </w:r>
          </w:p>
        </w:tc>
        <w:tc>
          <w:tcPr>
            <w:tcW w:type="dxa" w:w="26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ECS RunTask / Step Functions</w:t>
            </w:r>
          </w:p>
        </w:tc>
        <w:tc>
          <w:tcPr>
            <w:tcW w:type="dxa" w:w="14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87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L2</w:t>
            </w:r>
          </w:p>
        </w:tc>
        <w:tc>
          <w:tcPr>
            <w:tcW w:type="dxa" w:w="44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Hard wall-clock timeout per run; force-stop past it. (No fixed Fargate max — hours OK; use on-demand, not Spot)</w:t>
            </w:r>
          </w:p>
        </w:tc>
        <w:tc>
          <w:tcPr>
            <w:tcW w:type="dxa" w:w="26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launcher / Step Functions timeout</w:t>
            </w:r>
          </w:p>
        </w:tc>
        <w:tc>
          <w:tcPr>
            <w:tcW w:type="dxa" w:w="14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87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L3</w:t>
            </w:r>
          </w:p>
        </w:tc>
        <w:tc>
          <w:tcPr>
            <w:tcW w:type="dxa" w:w="44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On-demand kill path to stop an in-flight task</w:t>
            </w:r>
          </w:p>
        </w:tc>
        <w:tc>
          <w:tcPr>
            <w:tcW w:type="dxa" w:w="26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StopTask API + runbook</w:t>
            </w:r>
          </w:p>
        </w:tc>
        <w:tc>
          <w:tcPr>
            <w:tcW w:type="dxa" w:w="14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SHOULD</w:t>
            </w:r>
          </w:p>
        </w:tc>
      </w:tr>
    </w:tbl>
    <w:p>
      <w:pPr>
        <w:pStyle w:val="Heading2"/>
        <w:spacing w:after="70" w:before="160"/>
      </w:pPr>
      <w:r>
        <w:rPr>
          <w:b/>
          <w:bCs/>
          <w:color w:val="2E5E8C"/>
          <w:sz w:val="22"/>
          <w:szCs w:val="22"/>
        </w:rPr>
        <w:t xml:space="preserve">4.9 Data handling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870"/>
        <w:gridCol w:w="4420"/>
        <w:gridCol w:w="2660"/>
        <w:gridCol w:w="1410"/>
      </w:tblGrid>
      <w:tr>
        <w:trPr>
          <w:tblHeader/>
        </w:trPr>
        <w:tc>
          <w:tcPr>
            <w:tcW w:type="dxa" w:w="87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42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66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AWS mechanism</w:t>
            </w:r>
          </w:p>
        </w:tc>
        <w:tc>
          <w:tcPr>
            <w:tcW w:type="dxa" w:w="141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87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D1</w:t>
            </w:r>
          </w:p>
        </w:tc>
        <w:tc>
          <w:tcPr>
            <w:tcW w:type="dxa" w:w="44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Source bucket read-only; results bucket write-only; separate buckets</w:t>
            </w:r>
          </w:p>
        </w:tc>
        <w:tc>
          <w:tcPr>
            <w:tcW w:type="dxa" w:w="26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S3 + bucket policy</w:t>
            </w:r>
          </w:p>
        </w:tc>
        <w:tc>
          <w:tcPr>
            <w:tcW w:type="dxa" w:w="14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87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D2</w:t>
            </w:r>
          </w:p>
        </w:tc>
        <w:tc>
          <w:tcPr>
            <w:tcW w:type="dxa" w:w="44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Encrypt source, results, and logs with KMS; task role scoped to the key</w:t>
            </w:r>
          </w:p>
        </w:tc>
        <w:tc>
          <w:tcPr>
            <w:tcW w:type="dxa" w:w="26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SSE-KMS + key policy</w:t>
            </w:r>
          </w:p>
        </w:tc>
        <w:tc>
          <w:tcPr>
            <w:tcW w:type="dxa" w:w="14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87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D3</w:t>
            </w:r>
          </w:p>
        </w:tc>
        <w:tc>
          <w:tcPr>
            <w:tcW w:type="dxa" w:w="44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Results are the only thing that leaves the task; nothing written back to source</w:t>
            </w:r>
          </w:p>
        </w:tc>
        <w:tc>
          <w:tcPr>
            <w:tcW w:type="dxa" w:w="26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bucket policy</w:t>
            </w:r>
          </w:p>
        </w:tc>
        <w:tc>
          <w:tcPr>
            <w:tcW w:type="dxa" w:w="14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</w:tbl>
    <w:p>
      <w:pPr>
        <w:pStyle w:val="Heading2"/>
        <w:spacing w:after="70" w:before="160"/>
      </w:pPr>
      <w:r>
        <w:rPr>
          <w:b/>
          <w:bCs/>
          <w:color w:val="2E5E8C"/>
          <w:sz w:val="22"/>
          <w:szCs w:val="22"/>
        </w:rPr>
        <w:t xml:space="preserve">4.10 Forward-compatibility (build these into the POC now so the future design drops in without rework)</w:t>
      </w:r>
    </w:p>
    <w:p>
      <w:pPr>
        <w:spacing w:after="100"/>
      </w:pPr>
      <w:r>
        <w:rPr>
          <w:sz w:val="20"/>
          <w:szCs w:val="20"/>
        </w:rPr>
        <w:t xml:space="preserve">These are requirements on the </w:t>
      </w:r>
      <w:r>
        <w:rPr>
          <w:b/>
          <w:bCs/>
          <w:sz w:val="20"/>
          <w:szCs w:val="20"/>
        </w:rPr>
        <w:t xml:space="preserve">current POC</w:t>
      </w:r>
      <w:r>
        <w:rPr>
          <w:sz w:val="20"/>
          <w:szCs w:val="20"/>
        </w:rPr>
        <w:t xml:space="preserve"> whose only purpose is to make the future exploitation-request provisioning (§6) slot in with no change inside the sandbox. They cost almost nothing now and save a redesign later.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870"/>
        <w:gridCol w:w="4420"/>
        <w:gridCol w:w="2660"/>
        <w:gridCol w:w="1410"/>
      </w:tblGrid>
      <w:tr>
        <w:trPr>
          <w:tblHeader/>
        </w:trPr>
        <w:tc>
          <w:tcPr>
            <w:tcW w:type="dxa" w:w="87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42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66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How enforced</w:t>
            </w:r>
          </w:p>
        </w:tc>
        <w:tc>
          <w:tcPr>
            <w:tcW w:type="dxa" w:w="141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87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FC1</w:t>
            </w:r>
          </w:p>
        </w:tc>
        <w:tc>
          <w:tcPr>
            <w:tcW w:type="dxa" w:w="44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Source location is a RUNTIME PARAMETER to the task (bucket + prefix) — never hardcoded, so a service can supply it later</w:t>
            </w:r>
          </w:p>
        </w:tc>
        <w:tc>
          <w:tcPr>
            <w:tcW w:type="dxa" w:w="26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task def env/overrides via launcher</w:t>
            </w:r>
          </w:p>
        </w:tc>
        <w:tc>
          <w:tcPr>
            <w:tcW w:type="dxa" w:w="14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87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FC2</w:t>
            </w:r>
          </w:p>
        </w:tc>
        <w:tc>
          <w:tcPr>
            <w:tcW w:type="dxa" w:w="44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Source laid out under a per-run prefix now: s3://&lt;source-bucket&gt;/&lt;run-id&gt;/… — the sandbox reads only its own prefix</w:t>
            </w:r>
          </w:p>
        </w:tc>
        <w:tc>
          <w:tcPr>
            <w:tcW w:type="dxa" w:w="26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S3 key convention + IAM prefix scope (I1)</w:t>
            </w:r>
          </w:p>
        </w:tc>
        <w:tc>
          <w:tcPr>
            <w:tcW w:type="dxa" w:w="14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87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FC3</w:t>
            </w:r>
          </w:p>
        </w:tc>
        <w:tc>
          <w:tcPr>
            <w:tcW w:type="dxa" w:w="44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Results keyed by run_id: s3://&lt;results-bucket&gt;/&lt;run-id&gt;/… — so a future request can be tied back to its output</w:t>
            </w:r>
          </w:p>
        </w:tc>
        <w:tc>
          <w:tcPr>
            <w:tcW w:type="dxa" w:w="26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S3 key convention</w:t>
            </w:r>
          </w:p>
        </w:tc>
        <w:tc>
          <w:tcPr>
            <w:tcW w:type="dxa" w:w="14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87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FC4</w:t>
            </w:r>
          </w:p>
        </w:tc>
        <w:tc>
          <w:tcPr>
            <w:tcW w:type="dxa" w:w="44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run_id is THE correlation key, carried through source prefix, results prefix, and logs</w:t>
            </w:r>
          </w:p>
        </w:tc>
        <w:tc>
          <w:tcPr>
            <w:tcW w:type="dxa" w:w="26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run_id minted by launcher; stamped everywhere</w:t>
            </w:r>
          </w:p>
        </w:tc>
        <w:tc>
          <w:tcPr>
            <w:tcW w:type="dxa" w:w="14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87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FC5</w:t>
            </w:r>
          </w:p>
        </w:tc>
        <w:tc>
          <w:tcPr>
            <w:tcW w:type="dxa" w:w="44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Launcher is invocable programmatically / event-driven (not only manual) so a future 'source ready' event can trigger it</w:t>
            </w:r>
          </w:p>
        </w:tc>
        <w:tc>
          <w:tcPr>
            <w:tcW w:type="dxa" w:w="26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RunTask API / Step Functions / EventBridge target</w:t>
            </w:r>
          </w:p>
        </w:tc>
        <w:tc>
          <w:tcPr>
            <w:tcW w:type="dxa" w:w="14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87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FC6</w:t>
            </w:r>
          </w:p>
        </w:tc>
        <w:tc>
          <w:tcPr>
            <w:tcW w:type="dxa" w:w="44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Nothing in the sandbox assumes WHO placed the source — human today, a service tomorrow; the task only reads S3</w:t>
            </w:r>
          </w:p>
        </w:tc>
        <w:tc>
          <w:tcPr>
            <w:tcW w:type="dxa" w:w="26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design rule (the S3 seam)</w:t>
            </w:r>
          </w:p>
        </w:tc>
        <w:tc>
          <w:tcPr>
            <w:tcW w:type="dxa" w:w="14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</w:tbl>
    <w:p>
      <w:pPr>
        <w:pStyle w:val="Heading1"/>
        <w:spacing w:after="90" w:before="260"/>
      </w:pPr>
      <w:r>
        <w:rPr>
          <w:b/>
          <w:bCs/>
          <w:color w:val="1F4E79"/>
          <w:sz w:val="27"/>
          <w:szCs w:val="27"/>
        </w:rPr>
        <w:t xml:space="preserve">5 · The three controls not to compromise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0"/>
          <w:szCs w:val="20"/>
        </w:rPr>
        <w:t xml:space="preserve">No internet route exists </w:t>
      </w:r>
      <w:r>
        <w:rPr>
          <w:sz w:val="20"/>
          <w:szCs w:val="20"/>
        </w:rPr>
        <w:t xml:space="preserve">(N2) — containment by absence beats containment by filter.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0"/>
          <w:szCs w:val="20"/>
        </w:rPr>
        <w:t xml:space="preserve">Metadata 169.254.169.254 blocked </w:t>
      </w:r>
      <w:r>
        <w:rPr>
          <w:sz w:val="20"/>
          <w:szCs w:val="20"/>
        </w:rPr>
        <w:t xml:space="preserve">(M1) — the #1 pivot to steal AWS credentials.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0"/>
          <w:szCs w:val="20"/>
        </w:rPr>
        <w:t xml:space="preserve">IAM + endpoint policy scoped to the one bucket and one model </w:t>
      </w:r>
      <w:r>
        <w:rPr>
          <w:sz w:val="20"/>
          <w:szCs w:val="20"/>
        </w:rPr>
        <w:t xml:space="preserve">(E1/E2/I1/I2) — so even the allowed path can't reach anything else.</w:t>
      </w:r>
    </w:p>
    <w:p>
      <w:pPr>
        <w:pStyle w:val="Heading1"/>
        <w:spacing w:after="90" w:before="260"/>
      </w:pPr>
      <w:r>
        <w:rPr>
          <w:b/>
          <w:bCs/>
          <w:color w:val="1F4E79"/>
          <w:sz w:val="27"/>
          <w:szCs w:val="27"/>
        </w:rPr>
        <w:t xml:space="preserve">6 · Future design: exploitation-request-driven source provisioning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Direction. </w:t>
      </w:r>
      <w:r>
        <w:rPr>
          <w:sz w:val="20"/>
          <w:szCs w:val="20"/>
        </w:rPr>
        <w:t xml:space="preserve">Today the source bundle is assumed pre-placed in S3. In future, an </w:t>
      </w:r>
      <w:r>
        <w:rPr>
          <w:b/>
          <w:bCs/>
          <w:sz w:val="20"/>
          <w:szCs w:val="20"/>
        </w:rPr>
        <w:t xml:space="preserve">exploitation request</w:t>
      </w:r>
      <w:r>
        <w:rPr>
          <w:sz w:val="20"/>
          <w:szCs w:val="20"/>
        </w:rPr>
        <w:t xml:space="preserve"> (carrying source details — repo/artifact coordinates, version/commit) arrives, and a dedicated </w:t>
      </w:r>
      <w:r>
        <w:rPr>
          <w:b/>
          <w:bCs/>
          <w:sz w:val="20"/>
          <w:szCs w:val="20"/>
        </w:rPr>
        <w:t xml:space="preserve">Source-Provisioning Service</w:t>
      </w:r>
      <w:r>
        <w:rPr>
          <w:sz w:val="20"/>
          <w:szCs w:val="20"/>
        </w:rPr>
        <w:t xml:space="preserve"> pulls the source, lands it in the S3 source bucket at the per-run prefix, and triggers the run. The sandbox is unchanged — S3 stays the seam.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Boundary. </w:t>
      </w:r>
      <w:r>
        <w:rPr>
          <w:sz w:val="20"/>
          <w:szCs w:val="20"/>
        </w:rPr>
        <w:t xml:space="preserve">The provisioning service runs OUTSIDE the sandbox — it needs network to SCM/Artifactory, with its own scoped permissions — deliberately NOT inside the locked-down task, so the agent never inherits that reach.</w:t>
      </w:r>
    </w:p>
    <w:p>
      <w:pPr>
        <w:pStyle w:val="Heading2"/>
        <w:spacing w:after="70" w:before="160"/>
      </w:pPr>
      <w:r>
        <w:rPr>
          <w:b/>
          <w:bCs/>
          <w:color w:val="2E5E8C"/>
          <w:sz w:val="22"/>
          <w:szCs w:val="22"/>
        </w:rPr>
        <w:t xml:space="preserve">6.1 Future requirements (define the contract now; build later)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870"/>
        <w:gridCol w:w="4420"/>
        <w:gridCol w:w="2660"/>
        <w:gridCol w:w="1410"/>
      </w:tblGrid>
      <w:tr>
        <w:trPr>
          <w:tblHeader/>
        </w:trPr>
        <w:tc>
          <w:tcPr>
            <w:tcW w:type="dxa" w:w="87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42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Future requirement</w:t>
            </w:r>
          </w:p>
        </w:tc>
        <w:tc>
          <w:tcPr>
            <w:tcW w:type="dxa" w:w="266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Component / mechanism</w:t>
            </w:r>
          </w:p>
        </w:tc>
        <w:tc>
          <w:tcPr>
            <w:tcW w:type="dxa" w:w="141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87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FR1</w:t>
            </w:r>
          </w:p>
        </w:tc>
        <w:tc>
          <w:tcPr>
            <w:tcW w:type="dxa" w:w="44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Define the exploitation-request contract: {request_id, source:{type:scm|artifact, coords, version|commit}, target_metadata, roe_ref?}</w:t>
            </w:r>
          </w:p>
        </w:tc>
        <w:tc>
          <w:tcPr>
            <w:tcW w:type="dxa" w:w="26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contract-first schema (JSON Schema)</w:t>
            </w:r>
          </w:p>
        </w:tc>
        <w:tc>
          <w:tcPr>
            <w:tcW w:type="dxa" w:w="14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87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FR2</w:t>
            </w:r>
          </w:p>
        </w:tc>
        <w:tc>
          <w:tcPr>
            <w:tcW w:type="dxa" w:w="44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Source-Provisioning Service resolves the request and WRITES source to s3://&lt;source-bucket&gt;/&lt;run-id&gt;/</w:t>
            </w:r>
          </w:p>
        </w:tc>
        <w:tc>
          <w:tcPr>
            <w:tcW w:type="dxa" w:w="26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new service, OUTSIDE the sandbox</w:t>
            </w:r>
          </w:p>
        </w:tc>
        <w:tc>
          <w:tcPr>
            <w:tcW w:type="dxa" w:w="14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87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FR3</w:t>
            </w:r>
          </w:p>
        </w:tc>
        <w:tc>
          <w:tcPr>
            <w:tcW w:type="dxa" w:w="44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Provisioning service has network to SCM/Artifactory + write-only to the source bucket prefix; NO read of results; NOT inside the task</w:t>
            </w:r>
          </w:p>
        </w:tc>
        <w:tc>
          <w:tcPr>
            <w:tcW w:type="dxa" w:w="26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its own IAM role + SG; separate from task role</w:t>
            </w:r>
          </w:p>
        </w:tc>
        <w:tc>
          <w:tcPr>
            <w:tcW w:type="dxa" w:w="14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87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FR4</w:t>
            </w:r>
          </w:p>
        </w:tc>
        <w:tc>
          <w:tcPr>
            <w:tcW w:type="dxa" w:w="44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'Source ready' signal triggers the launcher (which starts the Fargate run)</w:t>
            </w:r>
          </w:p>
        </w:tc>
        <w:tc>
          <w:tcPr>
            <w:tcW w:type="dxa" w:w="26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S3 event / EventBridge / explicit API → launcher (FC5)</w:t>
            </w:r>
          </w:p>
        </w:tc>
        <w:tc>
          <w:tcPr>
            <w:tcW w:type="dxa" w:w="14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87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FR5</w:t>
            </w:r>
          </w:p>
        </w:tc>
        <w:tc>
          <w:tcPr>
            <w:tcW w:type="dxa" w:w="44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Idempotency: one request_id → one source bundle → one run; re-delivery does not duplicate</w:t>
            </w:r>
          </w:p>
        </w:tc>
        <w:tc>
          <w:tcPr>
            <w:tcW w:type="dxa" w:w="26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dedup on request_id (outbox / conditional write)</w:t>
            </w:r>
          </w:p>
        </w:tc>
        <w:tc>
          <w:tcPr>
            <w:tcW w:type="dxa" w:w="14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87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FR6</w:t>
            </w:r>
          </w:p>
        </w:tc>
        <w:tc>
          <w:tcPr>
            <w:tcW w:type="dxa" w:w="44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Provenance: record which request_id + source version produced which run_id (audit linkage)</w:t>
            </w:r>
          </w:p>
        </w:tc>
        <w:tc>
          <w:tcPr>
            <w:tcW w:type="dxa" w:w="26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run metadata + CloudTrail</w:t>
            </w:r>
          </w:p>
        </w:tc>
        <w:tc>
          <w:tcPr>
            <w:tcW w:type="dxa" w:w="14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87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FR7</w:t>
            </w:r>
          </w:p>
        </w:tc>
        <w:tc>
          <w:tcPr>
            <w:tcW w:type="dxa" w:w="44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If the source producer later shifts from S3 to Artifactory/SCM directly, the service normalises it into the same S3 seam — sandbox contract unchanged</w:t>
            </w:r>
          </w:p>
        </w:tc>
        <w:tc>
          <w:tcPr>
            <w:tcW w:type="dxa" w:w="26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provisioning-service adapter</w:t>
            </w:r>
          </w:p>
        </w:tc>
        <w:tc>
          <w:tcPr>
            <w:tcW w:type="dxa" w:w="14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SHOULD</w:t>
            </w:r>
          </w:p>
        </w:tc>
      </w:tr>
    </w:tbl>
    <w:p>
      <w:pPr>
        <w:spacing w:after="100"/>
      </w:pPr>
      <w:r>
        <w:rPr>
          <w:b/>
          <w:bCs/>
          <w:sz w:val="20"/>
          <w:szCs w:val="20"/>
        </w:rPr>
        <w:t xml:space="preserve">The link back to the POC: </w:t>
      </w:r>
      <w:r>
        <w:rPr>
          <w:sz w:val="20"/>
          <w:szCs w:val="20"/>
        </w:rPr>
        <w:t xml:space="preserve">FR1–FR7 land cleanly only because the POC already satisfies the forward-compatibility set (§4.10). Build FC1–FC6 now and this future service is additive, not a rewrite.</w:t>
      </w:r>
    </w:p>
    <w:p>
      <w:pPr>
        <w:pStyle w:val="Heading1"/>
        <w:spacing w:after="90" w:before="260"/>
      </w:pPr>
      <w:r>
        <w:rPr>
          <w:b/>
          <w:bCs/>
          <w:color w:val="1F4E79"/>
          <w:sz w:val="27"/>
          <w:szCs w:val="27"/>
        </w:rPr>
        <w:t xml:space="preserve">7 · Containment exit-test (POC pass criteria)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From inside the task, attempts to reach the internet, a second S3 bucket, another AWS service, and 169.254.169.254 all FAIL.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Pulling the authorized source prefix and calling the one model SUCCEED.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Flow Logs show the denied attempts; the alarm fires.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Task stops and storage is gone after the run; results land only in the results bucket.</w:t>
      </w:r>
    </w:p>
    <w:p>
      <w:pPr>
        <w:spacing w:before="160"/>
      </w:pPr>
      <w:r>
        <w:rPr>
          <w:i/>
          <w:iCs/>
          <w:color w:val="666666"/>
          <w:sz w:val="18"/>
          <w:szCs w:val="18"/>
        </w:rPr>
        <w:t xml:space="preserve">This POC proves the sandbox is network-contained on ECS Fargate. The source-provisioning service (§6), governance service, RoE engine, HITL, and live-target exploitation are separate initiatives that build on top of this contained task through the stable S3 (source) and results seams.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90" w:before="260"/>
      <w:outlineLvl w:val="0"/>
    </w:pPr>
    <w:rPr>
      <w:b/>
      <w:bCs/>
      <w:color w:val="1F4E79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70" w:before="160"/>
      <w:outlineLvl w:val="1"/>
    </w:pPr>
    <w:rPr>
      <w:b/>
      <w:bCs/>
      <w:color w:val="2E5E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b2d47caf30bcb1a9e648baed6cb7306e1e979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2026-10-06T22:39:43.389Z</dcterms:created>
  <dcterms:modified xsi:type="dcterms:W3CDTF">2026-10-06T22:39:43.394Z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